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B6" w:rsidRPr="00EB02E2" w:rsidRDefault="00916B1C" w:rsidP="00922CA0">
      <w:pPr>
        <w:pStyle w:val="ConsPlusNormal"/>
        <w:rPr>
          <w:lang w:val="en-US"/>
        </w:rPr>
      </w:pPr>
      <w:r>
        <w:rPr>
          <w:noProof/>
        </w:rPr>
        <w:drawing>
          <wp:anchor distT="0" distB="0" distL="114300" distR="114300" simplePos="0" relativeHeight="251657728"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p>
    <w:p w:rsidR="000F42B6" w:rsidRPr="00EB02E2" w:rsidRDefault="000F42B6" w:rsidP="00922CA0">
      <w:pPr>
        <w:pStyle w:val="ConsPlusNormal"/>
        <w:spacing w:before="300"/>
        <w:jc w:val="right"/>
        <w:outlineLvl w:val="1"/>
        <w:rPr>
          <w:lang w:val="en-US"/>
        </w:rPr>
      </w:pPr>
    </w:p>
    <w:p w:rsidR="000F42B6" w:rsidRDefault="000F42B6" w:rsidP="00922CA0">
      <w:pPr>
        <w:pStyle w:val="ConsPlusNormal"/>
        <w:rPr>
          <w:lang w:val="en-US"/>
        </w:rPr>
      </w:pPr>
    </w:p>
    <w:p w:rsidR="000F42B6" w:rsidRDefault="000F42B6" w:rsidP="00922CA0">
      <w:pPr>
        <w:pStyle w:val="ConsPlusNormal"/>
        <w:jc w:val="center"/>
        <w:rPr>
          <w:b/>
          <w:bCs/>
          <w:sz w:val="28"/>
          <w:szCs w:val="28"/>
        </w:rPr>
      </w:pPr>
    </w:p>
    <w:p w:rsidR="000F42B6" w:rsidRDefault="000F42B6" w:rsidP="00922CA0">
      <w:pPr>
        <w:pStyle w:val="ConsPlusNormal"/>
        <w:jc w:val="center"/>
        <w:rPr>
          <w:b/>
          <w:bCs/>
          <w:sz w:val="28"/>
          <w:szCs w:val="28"/>
        </w:rPr>
      </w:pPr>
    </w:p>
    <w:p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rsidTr="0088020A">
        <w:trPr>
          <w:gridBefore w:val="1"/>
          <w:wBefore w:w="72" w:type="dxa"/>
          <w:trHeight w:val="351"/>
        </w:trPr>
        <w:tc>
          <w:tcPr>
            <w:tcW w:w="4926" w:type="dxa"/>
            <w:gridSpan w:val="2"/>
          </w:tcPr>
          <w:p w:rsidR="000F42B6" w:rsidRPr="00102A8A" w:rsidRDefault="005F52F1" w:rsidP="00B158C9">
            <w:pPr>
              <w:pStyle w:val="ConsPlusNormal"/>
              <w:rPr>
                <w:sz w:val="28"/>
                <w:szCs w:val="28"/>
                <w:u w:val="single"/>
              </w:rPr>
            </w:pPr>
            <w:r w:rsidRPr="00E26959">
              <w:rPr>
                <w:sz w:val="28"/>
                <w:szCs w:val="28"/>
              </w:rPr>
              <w:t>О</w:t>
            </w:r>
            <w:r w:rsidR="000F42B6" w:rsidRPr="00E26959">
              <w:rPr>
                <w:sz w:val="28"/>
                <w:szCs w:val="28"/>
              </w:rPr>
              <w:t>т</w:t>
            </w:r>
            <w:r w:rsidR="00C340CA">
              <w:rPr>
                <w:sz w:val="28"/>
                <w:szCs w:val="28"/>
              </w:rPr>
              <w:t xml:space="preserve"> </w:t>
            </w:r>
            <w:r w:rsidR="00B158C9">
              <w:rPr>
                <w:sz w:val="28"/>
                <w:szCs w:val="28"/>
                <w:u w:val="single"/>
              </w:rPr>
              <w:t>10.06.2022</w:t>
            </w:r>
          </w:p>
        </w:tc>
        <w:tc>
          <w:tcPr>
            <w:tcW w:w="3262" w:type="dxa"/>
          </w:tcPr>
          <w:p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rsidR="000F42B6" w:rsidRPr="00B64AD3" w:rsidRDefault="00C745E3" w:rsidP="00B158C9">
            <w:pPr>
              <w:pStyle w:val="ConsPlusNormal"/>
              <w:ind w:right="-250"/>
              <w:rPr>
                <w:sz w:val="28"/>
                <w:szCs w:val="28"/>
              </w:rPr>
            </w:pPr>
            <w:r>
              <w:t>№</w:t>
            </w:r>
            <w:r w:rsidR="00A1171E">
              <w:t xml:space="preserve"> </w:t>
            </w:r>
            <w:r w:rsidR="00B158C9">
              <w:rPr>
                <w:u w:val="single"/>
              </w:rPr>
              <w:t>439</w:t>
            </w:r>
            <w:r w:rsidR="002252FB">
              <w:t>__</w:t>
            </w:r>
            <w:r w:rsidR="00A1171E" w:rsidRPr="004753D6">
              <w:rPr>
                <w:u w:val="single"/>
              </w:rPr>
              <w:t>_____</w:t>
            </w:r>
          </w:p>
        </w:tc>
      </w:tr>
      <w:tr w:rsidR="000F42B6" w:rsidTr="0088020A">
        <w:trPr>
          <w:gridBefore w:val="1"/>
          <w:wBefore w:w="72" w:type="dxa"/>
        </w:trPr>
        <w:tc>
          <w:tcPr>
            <w:tcW w:w="9853" w:type="dxa"/>
            <w:gridSpan w:val="5"/>
          </w:tcPr>
          <w:p w:rsidR="000F42B6" w:rsidRDefault="000F42B6" w:rsidP="00B64AD3">
            <w:pPr>
              <w:pStyle w:val="ConsPlusNormal"/>
              <w:jc w:val="center"/>
              <w:rPr>
                <w:sz w:val="28"/>
                <w:szCs w:val="28"/>
              </w:rPr>
            </w:pPr>
            <w:r w:rsidRPr="00B64AD3">
              <w:rPr>
                <w:sz w:val="28"/>
                <w:szCs w:val="28"/>
              </w:rPr>
              <w:t>г. Верхний Тагил</w:t>
            </w:r>
          </w:p>
          <w:p w:rsidR="000F42B6" w:rsidRDefault="000F42B6" w:rsidP="00B64AD3">
            <w:pPr>
              <w:pStyle w:val="ConsPlusNormal"/>
              <w:jc w:val="right"/>
              <w:rPr>
                <w:sz w:val="28"/>
                <w:szCs w:val="28"/>
              </w:rPr>
            </w:pPr>
          </w:p>
          <w:p w:rsidR="00AF7F8E" w:rsidRPr="00B64AD3" w:rsidRDefault="00AF7F8E" w:rsidP="00B64AD3">
            <w:pPr>
              <w:pStyle w:val="ConsPlusNormal"/>
              <w:jc w:val="right"/>
              <w:rPr>
                <w:sz w:val="28"/>
                <w:szCs w:val="28"/>
              </w:rPr>
            </w:pPr>
          </w:p>
        </w:tc>
      </w:tr>
      <w:tr w:rsidR="000F42B6" w:rsidTr="0088020A">
        <w:trPr>
          <w:gridAfter w:val="1"/>
          <w:wAfter w:w="370" w:type="dxa"/>
        </w:trPr>
        <w:tc>
          <w:tcPr>
            <w:tcW w:w="9555" w:type="dxa"/>
            <w:gridSpan w:val="5"/>
          </w:tcPr>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Об утверждении средней рыночной стоимости одного квадратного метра общей площади жил</w:t>
            </w:r>
            <w:r w:rsidR="00BA5B4A">
              <w:rPr>
                <w:b/>
                <w:bCs/>
                <w:i/>
                <w:iCs/>
                <w:sz w:val="28"/>
                <w:szCs w:val="28"/>
              </w:rPr>
              <w:t>ого помещения</w:t>
            </w:r>
            <w:r w:rsidRPr="00AF15E6">
              <w:rPr>
                <w:b/>
                <w:bCs/>
                <w:i/>
                <w:iCs/>
                <w:sz w:val="28"/>
                <w:szCs w:val="28"/>
              </w:rPr>
              <w:t xml:space="preserve"> на территории</w:t>
            </w:r>
          </w:p>
          <w:p w:rsidR="00245FF7" w:rsidRPr="00AF15E6" w:rsidRDefault="00245FF7" w:rsidP="00245FF7">
            <w:pPr>
              <w:autoSpaceDE w:val="0"/>
              <w:autoSpaceDN w:val="0"/>
              <w:adjustRightInd w:val="0"/>
              <w:ind w:left="142" w:right="142" w:firstLine="709"/>
              <w:jc w:val="center"/>
              <w:rPr>
                <w:b/>
                <w:bCs/>
                <w:i/>
                <w:iCs/>
                <w:sz w:val="28"/>
                <w:szCs w:val="28"/>
              </w:rPr>
            </w:pPr>
            <w:r w:rsidRPr="00AF15E6">
              <w:rPr>
                <w:b/>
                <w:bCs/>
                <w:i/>
                <w:iCs/>
                <w:sz w:val="28"/>
                <w:szCs w:val="28"/>
              </w:rPr>
              <w:t xml:space="preserve"> городского округа Верхний Тагил на </w:t>
            </w:r>
            <w:r w:rsidR="002252FB">
              <w:rPr>
                <w:b/>
                <w:bCs/>
                <w:i/>
                <w:iCs/>
                <w:sz w:val="28"/>
                <w:szCs w:val="28"/>
              </w:rPr>
              <w:t>третий</w:t>
            </w:r>
            <w:r w:rsidRPr="00AF15E6">
              <w:rPr>
                <w:b/>
                <w:bCs/>
                <w:i/>
                <w:iCs/>
                <w:sz w:val="28"/>
                <w:szCs w:val="28"/>
              </w:rPr>
              <w:t xml:space="preserve"> квартал 20</w:t>
            </w:r>
            <w:r w:rsidR="006B4957" w:rsidRPr="00AF15E6">
              <w:rPr>
                <w:b/>
                <w:bCs/>
                <w:i/>
                <w:iCs/>
                <w:sz w:val="28"/>
                <w:szCs w:val="28"/>
              </w:rPr>
              <w:t>2</w:t>
            </w:r>
            <w:r w:rsidR="0055099E" w:rsidRPr="00AF15E6">
              <w:rPr>
                <w:b/>
                <w:bCs/>
                <w:i/>
                <w:iCs/>
                <w:sz w:val="28"/>
                <w:szCs w:val="28"/>
              </w:rPr>
              <w:t>2</w:t>
            </w:r>
            <w:r w:rsidRPr="00AF15E6">
              <w:rPr>
                <w:b/>
                <w:bCs/>
                <w:i/>
                <w:iCs/>
                <w:sz w:val="28"/>
                <w:szCs w:val="28"/>
              </w:rPr>
              <w:t xml:space="preserve"> года</w:t>
            </w:r>
          </w:p>
          <w:p w:rsidR="00AF7F8E" w:rsidRDefault="00AF7F8E" w:rsidP="00922CA0">
            <w:pPr>
              <w:pStyle w:val="ConsPlusNormal"/>
              <w:rPr>
                <w:sz w:val="28"/>
                <w:szCs w:val="28"/>
              </w:rPr>
            </w:pPr>
          </w:p>
          <w:p w:rsidR="00AF15E6" w:rsidRPr="00AF15E6" w:rsidRDefault="00AF15E6" w:rsidP="00922CA0">
            <w:pPr>
              <w:pStyle w:val="ConsPlusNormal"/>
              <w:rPr>
                <w:sz w:val="28"/>
                <w:szCs w:val="28"/>
              </w:rPr>
            </w:pPr>
          </w:p>
        </w:tc>
      </w:tr>
      <w:tr w:rsidR="000F42B6" w:rsidTr="0088020A">
        <w:trPr>
          <w:gridAfter w:val="1"/>
          <w:wAfter w:w="370" w:type="dxa"/>
        </w:trPr>
        <w:tc>
          <w:tcPr>
            <w:tcW w:w="236" w:type="dxa"/>
            <w:gridSpan w:val="2"/>
            <w:vMerge w:val="restart"/>
          </w:tcPr>
          <w:p w:rsidR="000F42B6" w:rsidRPr="006B4957" w:rsidRDefault="000F42B6" w:rsidP="00B64AD3">
            <w:pPr>
              <w:pStyle w:val="a4"/>
              <w:jc w:val="both"/>
              <w:rPr>
                <w:b w:val="0"/>
                <w:bCs w:val="0"/>
                <w:sz w:val="27"/>
                <w:szCs w:val="27"/>
              </w:rPr>
            </w:pPr>
            <w:r w:rsidRPr="006B4957">
              <w:rPr>
                <w:b w:val="0"/>
                <w:bCs w:val="0"/>
                <w:sz w:val="27"/>
                <w:szCs w:val="27"/>
              </w:rPr>
              <w:tab/>
            </w:r>
          </w:p>
        </w:tc>
        <w:tc>
          <w:tcPr>
            <w:tcW w:w="9319" w:type="dxa"/>
            <w:gridSpan w:val="3"/>
          </w:tcPr>
          <w:p w:rsidR="000F42B6" w:rsidRPr="00AF15E6" w:rsidRDefault="00245FF7" w:rsidP="008E5C5D">
            <w:pPr>
              <w:autoSpaceDE w:val="0"/>
              <w:autoSpaceDN w:val="0"/>
              <w:adjustRightInd w:val="0"/>
              <w:ind w:firstLine="567"/>
              <w:jc w:val="both"/>
              <w:rPr>
                <w:bCs/>
                <w:sz w:val="28"/>
                <w:szCs w:val="28"/>
              </w:rPr>
            </w:pPr>
            <w:r w:rsidRPr="00AF15E6">
              <w:rPr>
                <w:sz w:val="28"/>
                <w:szCs w:val="28"/>
              </w:rPr>
              <w:t>В соответствии с Жилищным кодексом Российской Федерации, Законом Свердловской области от 22</w:t>
            </w:r>
            <w:r w:rsidR="00E171C1" w:rsidRPr="00AF15E6">
              <w:rPr>
                <w:sz w:val="28"/>
                <w:szCs w:val="28"/>
              </w:rPr>
              <w:t xml:space="preserve"> июля </w:t>
            </w:r>
            <w:r w:rsidRPr="00AF15E6">
              <w:rPr>
                <w:sz w:val="28"/>
                <w:szCs w:val="28"/>
              </w:rPr>
              <w:t>2005</w:t>
            </w:r>
            <w:r w:rsidR="00E171C1" w:rsidRPr="00AF15E6">
              <w:rPr>
                <w:sz w:val="28"/>
                <w:szCs w:val="28"/>
              </w:rPr>
              <w:t xml:space="preserve"> года</w:t>
            </w:r>
            <w:r w:rsidRPr="00AF15E6">
              <w:rPr>
                <w:sz w:val="28"/>
                <w:szCs w:val="28"/>
              </w:rPr>
              <w:t xml:space="preserve">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EF461E" w:rsidRPr="00AF15E6">
              <w:rPr>
                <w:sz w:val="28"/>
                <w:szCs w:val="28"/>
              </w:rPr>
              <w:t>п</w:t>
            </w:r>
            <w:r w:rsidRPr="00AF15E6">
              <w:rPr>
                <w:sz w:val="28"/>
                <w:szCs w:val="28"/>
              </w:rPr>
              <w:t>остановлением Правительства Свердловской области от 24</w:t>
            </w:r>
            <w:r w:rsidR="00EF461E" w:rsidRPr="00AF15E6">
              <w:rPr>
                <w:sz w:val="28"/>
                <w:szCs w:val="28"/>
              </w:rPr>
              <w:t>.10.</w:t>
            </w:r>
            <w:r w:rsidRPr="00AF15E6">
              <w:rPr>
                <w:sz w:val="28"/>
                <w:szCs w:val="28"/>
              </w:rPr>
              <w:t>2013</w:t>
            </w:r>
            <w:r w:rsidR="00EF461E" w:rsidRPr="00AF15E6">
              <w:rPr>
                <w:sz w:val="28"/>
                <w:szCs w:val="28"/>
              </w:rPr>
              <w:t xml:space="preserve"> </w:t>
            </w:r>
            <w:r w:rsidRPr="00AF15E6">
              <w:rPr>
                <w:sz w:val="28"/>
                <w:szCs w:val="28"/>
              </w:rPr>
              <w:t xml:space="preserve">№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00FA7DC0" w:rsidRPr="00AF15E6">
              <w:rPr>
                <w:sz w:val="28"/>
                <w:szCs w:val="28"/>
              </w:rPr>
              <w:t>постановлением Правительства Свердловской области от 01.04.2019 № 208-ПП «Об утверждении региональной адресной программы «Переселение граждан на территории Свердловской области из аварийного жилищного фонда в 2019-2025 годах»,</w:t>
            </w:r>
            <w:r w:rsidR="003C740D" w:rsidRPr="00AF15E6">
              <w:rPr>
                <w:sz w:val="28"/>
                <w:szCs w:val="28"/>
              </w:rPr>
              <w:t xml:space="preserve"> 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w:t>
            </w:r>
            <w:r w:rsidRPr="00AF15E6">
              <w:rPr>
                <w:sz w:val="28"/>
                <w:szCs w:val="28"/>
              </w:rPr>
              <w:t>в целях реализации мероприятий муниципальной программы «Жилище» на 2017-202</w:t>
            </w:r>
            <w:r w:rsidR="00F72930" w:rsidRPr="00AF15E6">
              <w:rPr>
                <w:sz w:val="28"/>
                <w:szCs w:val="28"/>
              </w:rPr>
              <w:t>5</w:t>
            </w:r>
            <w:r w:rsidRPr="00AF15E6">
              <w:rPr>
                <w:sz w:val="28"/>
                <w:szCs w:val="28"/>
              </w:rPr>
              <w:t xml:space="preserve"> годы городского округа Верхний Тагил, </w:t>
            </w:r>
            <w:r w:rsidR="00C118A5" w:rsidRPr="00AF15E6">
              <w:rPr>
                <w:sz w:val="28"/>
                <w:szCs w:val="28"/>
              </w:rPr>
              <w:t>утвержденной п</w:t>
            </w:r>
            <w:r w:rsidRPr="00AF15E6">
              <w:rPr>
                <w:sz w:val="28"/>
                <w:szCs w:val="28"/>
              </w:rPr>
              <w:t>остановлением Администрации городского округа Верхний Тагил от 20</w:t>
            </w:r>
            <w:r w:rsidR="00EF461E" w:rsidRPr="00AF15E6">
              <w:rPr>
                <w:sz w:val="28"/>
                <w:szCs w:val="28"/>
              </w:rPr>
              <w:t>.09.</w:t>
            </w:r>
            <w:r w:rsidRPr="00AF15E6">
              <w:rPr>
                <w:sz w:val="28"/>
                <w:szCs w:val="28"/>
              </w:rPr>
              <w:t>2016 № 709</w:t>
            </w:r>
            <w:r w:rsidR="00780E47" w:rsidRPr="00AF15E6">
              <w:rPr>
                <w:sz w:val="28"/>
                <w:szCs w:val="28"/>
              </w:rPr>
              <w:t xml:space="preserve">, </w:t>
            </w:r>
            <w:r w:rsidRPr="00AF15E6">
              <w:rPr>
                <w:sz w:val="28"/>
                <w:szCs w:val="28"/>
              </w:rPr>
              <w:t>руководствуясь Уставом городского округа Верхний Тагил,</w:t>
            </w:r>
            <w:r w:rsidR="008E5C5D" w:rsidRPr="00AF15E6">
              <w:rPr>
                <w:sz w:val="28"/>
                <w:szCs w:val="28"/>
              </w:rPr>
              <w:t xml:space="preserve"> </w:t>
            </w:r>
            <w:r w:rsidRPr="00AF15E6">
              <w:rPr>
                <w:bCs/>
                <w:sz w:val="28"/>
                <w:szCs w:val="28"/>
              </w:rPr>
              <w:t>Администрация городского округа Верхний Тагил</w:t>
            </w:r>
          </w:p>
          <w:p w:rsidR="00245FF7" w:rsidRPr="00AF15E6" w:rsidRDefault="00245FF7" w:rsidP="00245FF7">
            <w:pPr>
              <w:pStyle w:val="a4"/>
              <w:jc w:val="left"/>
              <w:rPr>
                <w:b w:val="0"/>
                <w:bCs w:val="0"/>
              </w:rPr>
            </w:pPr>
          </w:p>
          <w:p w:rsidR="00245FF7" w:rsidRPr="00AF15E6" w:rsidRDefault="00245FF7" w:rsidP="00B64AD3">
            <w:pPr>
              <w:pStyle w:val="a4"/>
              <w:jc w:val="left"/>
              <w:rPr>
                <w:bCs w:val="0"/>
              </w:rPr>
            </w:pPr>
            <w:r w:rsidRPr="00AF15E6">
              <w:rPr>
                <w:bCs w:val="0"/>
              </w:rPr>
              <w:t>ПОСТАНОВЛЯЕТ:</w:t>
            </w:r>
          </w:p>
          <w:p w:rsidR="00CE547E" w:rsidRDefault="00245FF7" w:rsidP="00913B81">
            <w:pPr>
              <w:autoSpaceDE w:val="0"/>
              <w:autoSpaceDN w:val="0"/>
              <w:adjustRightInd w:val="0"/>
              <w:ind w:firstLine="567"/>
              <w:jc w:val="both"/>
              <w:rPr>
                <w:sz w:val="28"/>
                <w:szCs w:val="28"/>
              </w:rPr>
            </w:pPr>
            <w:r w:rsidRPr="00AF15E6">
              <w:rPr>
                <w:sz w:val="28"/>
                <w:szCs w:val="28"/>
              </w:rPr>
              <w:t xml:space="preserve">1. </w:t>
            </w:r>
            <w:r w:rsidR="00CE547E">
              <w:rPr>
                <w:sz w:val="28"/>
                <w:szCs w:val="28"/>
              </w:rPr>
              <w:t xml:space="preserve">Утвердить расчет определения средней рыночной стоимости одного квадратного метра </w:t>
            </w:r>
            <w:r w:rsidR="00BA5B4A">
              <w:rPr>
                <w:sz w:val="28"/>
                <w:szCs w:val="28"/>
              </w:rPr>
              <w:t xml:space="preserve">общей площади жилого помещения, сложившейся на </w:t>
            </w:r>
            <w:r w:rsidR="00BA5B4A">
              <w:rPr>
                <w:sz w:val="28"/>
                <w:szCs w:val="28"/>
              </w:rPr>
              <w:lastRenderedPageBreak/>
              <w:t xml:space="preserve">территории городского округа Верхний Тагил на </w:t>
            </w:r>
            <w:r w:rsidR="002252FB">
              <w:rPr>
                <w:sz w:val="28"/>
                <w:szCs w:val="28"/>
              </w:rPr>
              <w:t>третий</w:t>
            </w:r>
            <w:r w:rsidR="00BA5B4A">
              <w:rPr>
                <w:sz w:val="28"/>
                <w:szCs w:val="28"/>
              </w:rPr>
              <w:t xml:space="preserve"> квартал 2022 года (прилагается).</w:t>
            </w:r>
            <w:r w:rsidR="00CE547E">
              <w:rPr>
                <w:sz w:val="28"/>
                <w:szCs w:val="28"/>
              </w:rPr>
              <w:t xml:space="preserve"> </w:t>
            </w:r>
          </w:p>
          <w:p w:rsidR="00245FF7" w:rsidRPr="00AF15E6" w:rsidRDefault="00BA5B4A" w:rsidP="00913B81">
            <w:pPr>
              <w:autoSpaceDE w:val="0"/>
              <w:autoSpaceDN w:val="0"/>
              <w:adjustRightInd w:val="0"/>
              <w:ind w:firstLine="567"/>
              <w:jc w:val="both"/>
              <w:rPr>
                <w:sz w:val="28"/>
                <w:szCs w:val="28"/>
              </w:rPr>
            </w:pPr>
            <w:r>
              <w:rPr>
                <w:sz w:val="28"/>
                <w:szCs w:val="28"/>
              </w:rPr>
              <w:t xml:space="preserve">2. </w:t>
            </w:r>
            <w:r w:rsidR="00913B81" w:rsidRPr="00AF15E6">
              <w:rPr>
                <w:sz w:val="28"/>
                <w:szCs w:val="28"/>
              </w:rPr>
              <w:t>У</w:t>
            </w:r>
            <w:r w:rsidR="00865649">
              <w:rPr>
                <w:sz w:val="28"/>
                <w:szCs w:val="28"/>
              </w:rPr>
              <w:t>т</w:t>
            </w:r>
            <w:r w:rsidR="00913B81" w:rsidRPr="00AF15E6">
              <w:rPr>
                <w:sz w:val="28"/>
                <w:szCs w:val="28"/>
              </w:rPr>
              <w:t xml:space="preserve">вердить среднюю рыночную стоимость одного квадратного метра общей площади жилого помещения на первичном рынке жилья в городском округе Верхний Тагил на </w:t>
            </w:r>
            <w:r w:rsidR="002252FB">
              <w:rPr>
                <w:sz w:val="28"/>
                <w:szCs w:val="28"/>
              </w:rPr>
              <w:t>третий</w:t>
            </w:r>
            <w:r w:rsidR="00913B81" w:rsidRPr="00AF15E6">
              <w:rPr>
                <w:sz w:val="28"/>
                <w:szCs w:val="28"/>
              </w:rPr>
              <w:t xml:space="preserve"> квартал 2022 года в размере </w:t>
            </w:r>
            <w:r w:rsidR="00E10FEC">
              <w:rPr>
                <w:sz w:val="28"/>
                <w:szCs w:val="28"/>
              </w:rPr>
              <w:t>92813</w:t>
            </w:r>
            <w:r w:rsidR="00913B81" w:rsidRPr="00AF15E6">
              <w:rPr>
                <w:sz w:val="28"/>
                <w:szCs w:val="28"/>
              </w:rPr>
              <w:t xml:space="preserve"> (</w:t>
            </w:r>
            <w:r w:rsidR="00E10FEC">
              <w:rPr>
                <w:sz w:val="28"/>
                <w:szCs w:val="28"/>
              </w:rPr>
              <w:t>девяносто две тысячи восемьсот тринадцать</w:t>
            </w:r>
            <w:r w:rsidR="00250740">
              <w:rPr>
                <w:sz w:val="28"/>
                <w:szCs w:val="28"/>
              </w:rPr>
              <w:t>) рублей</w:t>
            </w:r>
            <w:r w:rsidR="00913B81" w:rsidRPr="00AF15E6">
              <w:rPr>
                <w:sz w:val="28"/>
                <w:szCs w:val="28"/>
              </w:rPr>
              <w:t>.</w:t>
            </w:r>
          </w:p>
          <w:p w:rsidR="00317A57" w:rsidRDefault="00BA5B4A" w:rsidP="00913B81">
            <w:pPr>
              <w:autoSpaceDE w:val="0"/>
              <w:autoSpaceDN w:val="0"/>
              <w:adjustRightInd w:val="0"/>
              <w:ind w:firstLine="567"/>
              <w:jc w:val="both"/>
              <w:rPr>
                <w:sz w:val="28"/>
                <w:szCs w:val="28"/>
              </w:rPr>
            </w:pPr>
            <w:r>
              <w:rPr>
                <w:sz w:val="28"/>
                <w:szCs w:val="28"/>
              </w:rPr>
              <w:t>3</w:t>
            </w:r>
            <w:r w:rsidR="00317A57" w:rsidRPr="00AF15E6">
              <w:rPr>
                <w:sz w:val="28"/>
                <w:szCs w:val="28"/>
              </w:rPr>
              <w:t xml:space="preserve">. Утвердить среднюю рыночную стоимость одного квадратного метра общей площади жилого помещения на вторичном рынке жилья в городском округе Верхний Тагил на </w:t>
            </w:r>
            <w:r w:rsidR="002252FB">
              <w:rPr>
                <w:sz w:val="28"/>
                <w:szCs w:val="28"/>
              </w:rPr>
              <w:t>третий</w:t>
            </w:r>
            <w:r w:rsidR="00317A57" w:rsidRPr="00AF15E6">
              <w:rPr>
                <w:sz w:val="28"/>
                <w:szCs w:val="28"/>
              </w:rPr>
              <w:t xml:space="preserve"> квартал 2022 года в размере 1</w:t>
            </w:r>
            <w:r w:rsidR="00DF448F">
              <w:rPr>
                <w:sz w:val="28"/>
                <w:szCs w:val="28"/>
              </w:rPr>
              <w:t>615</w:t>
            </w:r>
            <w:r w:rsidR="00047405">
              <w:rPr>
                <w:sz w:val="28"/>
                <w:szCs w:val="28"/>
              </w:rPr>
              <w:t>8</w:t>
            </w:r>
            <w:r w:rsidR="00317A57" w:rsidRPr="00AF15E6">
              <w:rPr>
                <w:sz w:val="28"/>
                <w:szCs w:val="28"/>
              </w:rPr>
              <w:t xml:space="preserve"> (</w:t>
            </w:r>
            <w:r w:rsidR="00DF448F">
              <w:rPr>
                <w:sz w:val="28"/>
                <w:szCs w:val="28"/>
              </w:rPr>
              <w:t>шестнадцать тысяч сто пятьдесят восемь</w:t>
            </w:r>
            <w:r w:rsidR="00317A57" w:rsidRPr="00AF15E6">
              <w:rPr>
                <w:sz w:val="28"/>
                <w:szCs w:val="28"/>
              </w:rPr>
              <w:t>) рублей.</w:t>
            </w:r>
          </w:p>
          <w:p w:rsidR="00245FF7" w:rsidRPr="00AF15E6" w:rsidRDefault="00BA5B4A" w:rsidP="00CE7EAA">
            <w:pPr>
              <w:autoSpaceDE w:val="0"/>
              <w:autoSpaceDN w:val="0"/>
              <w:adjustRightInd w:val="0"/>
              <w:ind w:firstLine="567"/>
              <w:jc w:val="both"/>
              <w:rPr>
                <w:sz w:val="28"/>
                <w:szCs w:val="28"/>
              </w:rPr>
            </w:pPr>
            <w:r>
              <w:rPr>
                <w:sz w:val="28"/>
                <w:szCs w:val="28"/>
              </w:rPr>
              <w:t>4</w:t>
            </w:r>
            <w:r w:rsidR="00245FF7" w:rsidRPr="00AF15E6">
              <w:rPr>
                <w:sz w:val="28"/>
                <w:szCs w:val="28"/>
              </w:rPr>
              <w:t xml:space="preserve">. Контроль за исполнением настоящего постановления </w:t>
            </w:r>
            <w:r w:rsidR="005F5CEF" w:rsidRPr="00AF15E6">
              <w:rPr>
                <w:sz w:val="28"/>
                <w:szCs w:val="28"/>
              </w:rPr>
              <w:t>оставляю за собой</w:t>
            </w:r>
            <w:r w:rsidR="00245FF7" w:rsidRPr="00AF15E6">
              <w:rPr>
                <w:sz w:val="28"/>
                <w:szCs w:val="28"/>
              </w:rPr>
              <w:t>.</w:t>
            </w:r>
          </w:p>
          <w:p w:rsidR="00AF7F8E" w:rsidRPr="00AF15E6" w:rsidRDefault="00BA5B4A" w:rsidP="00AF7F8E">
            <w:pPr>
              <w:autoSpaceDE w:val="0"/>
              <w:autoSpaceDN w:val="0"/>
              <w:adjustRightInd w:val="0"/>
              <w:ind w:firstLine="567"/>
              <w:jc w:val="both"/>
              <w:rPr>
                <w:rFonts w:eastAsia="SimSun"/>
                <w:sz w:val="28"/>
                <w:szCs w:val="28"/>
                <w:lang w:eastAsia="zh-CN"/>
              </w:rPr>
            </w:pPr>
            <w:r>
              <w:rPr>
                <w:sz w:val="28"/>
                <w:szCs w:val="28"/>
              </w:rPr>
              <w:t>5</w:t>
            </w:r>
            <w:r w:rsidR="00AF7F8E" w:rsidRPr="00AF15E6">
              <w:rPr>
                <w:sz w:val="28"/>
                <w:szCs w:val="28"/>
              </w:rPr>
              <w:t xml:space="preserve">. Настоящее постановление </w:t>
            </w:r>
            <w:r w:rsidR="00D04C08" w:rsidRPr="00AF15E6">
              <w:rPr>
                <w:sz w:val="28"/>
                <w:szCs w:val="28"/>
              </w:rPr>
              <w:t>опубликовать</w:t>
            </w:r>
            <w:r w:rsidR="00AF7F8E" w:rsidRPr="00AF15E6">
              <w:rPr>
                <w:sz w:val="28"/>
                <w:szCs w:val="28"/>
              </w:rPr>
              <w:t xml:space="preserve"> на официальном сайте городского округа Верхний Тагил</w:t>
            </w:r>
            <w:r w:rsidR="00D04C08" w:rsidRPr="00AF15E6">
              <w:rPr>
                <w:sz w:val="28"/>
                <w:szCs w:val="28"/>
              </w:rPr>
              <w:t xml:space="preserve"> в сети Интернет (</w:t>
            </w:r>
            <w:proofErr w:type="spellStart"/>
            <w:r w:rsidR="00D04C08" w:rsidRPr="00AF15E6">
              <w:rPr>
                <w:sz w:val="28"/>
                <w:szCs w:val="28"/>
              </w:rPr>
              <w:t>www</w:t>
            </w:r>
            <w:proofErr w:type="spellEnd"/>
            <w:r w:rsidR="00D04C08" w:rsidRPr="00AF15E6">
              <w:rPr>
                <w:sz w:val="28"/>
                <w:szCs w:val="28"/>
              </w:rPr>
              <w:t>.</w:t>
            </w:r>
            <w:r w:rsidR="00D04C08" w:rsidRPr="00AF15E6">
              <w:rPr>
                <w:sz w:val="28"/>
                <w:szCs w:val="28"/>
                <w:lang w:val="en-US"/>
              </w:rPr>
              <w:t>go</w:t>
            </w:r>
            <w:r w:rsidR="00D04C08" w:rsidRPr="00AF15E6">
              <w:rPr>
                <w:sz w:val="28"/>
                <w:szCs w:val="28"/>
              </w:rPr>
              <w:t>-</w:t>
            </w:r>
            <w:proofErr w:type="spellStart"/>
            <w:r w:rsidR="00D04C08" w:rsidRPr="00AF15E6">
              <w:rPr>
                <w:sz w:val="28"/>
                <w:szCs w:val="28"/>
                <w:lang w:val="en-US"/>
              </w:rPr>
              <w:t>vtagil</w:t>
            </w:r>
            <w:proofErr w:type="spellEnd"/>
            <w:r w:rsidR="00D04C08" w:rsidRPr="00AF15E6">
              <w:rPr>
                <w:sz w:val="28"/>
                <w:szCs w:val="28"/>
              </w:rPr>
              <w:t>.</w:t>
            </w:r>
            <w:proofErr w:type="spellStart"/>
            <w:r w:rsidR="00D04C08" w:rsidRPr="00AF15E6">
              <w:rPr>
                <w:sz w:val="28"/>
                <w:szCs w:val="28"/>
              </w:rPr>
              <w:t>ru</w:t>
            </w:r>
            <w:proofErr w:type="spellEnd"/>
            <w:r w:rsidR="00D04C08" w:rsidRPr="00AF15E6">
              <w:rPr>
                <w:sz w:val="28"/>
                <w:szCs w:val="28"/>
              </w:rPr>
              <w:t>).</w:t>
            </w:r>
            <w:r w:rsidR="00AF7F8E" w:rsidRPr="00AF15E6">
              <w:rPr>
                <w:rFonts w:eastAsia="SimSun"/>
                <w:sz w:val="28"/>
                <w:szCs w:val="28"/>
                <w:lang w:eastAsia="zh-CN"/>
              </w:rPr>
              <w:t xml:space="preserve"> </w:t>
            </w:r>
          </w:p>
          <w:p w:rsidR="001724FF" w:rsidRDefault="001724FF" w:rsidP="00CE7EAA">
            <w:pPr>
              <w:autoSpaceDE w:val="0"/>
              <w:autoSpaceDN w:val="0"/>
              <w:adjustRightInd w:val="0"/>
              <w:ind w:firstLine="567"/>
              <w:jc w:val="both"/>
              <w:rPr>
                <w:sz w:val="28"/>
                <w:szCs w:val="28"/>
              </w:rPr>
            </w:pPr>
          </w:p>
          <w:p w:rsidR="00AF15E6" w:rsidRPr="00AF15E6" w:rsidRDefault="00AF15E6" w:rsidP="00CE7EAA">
            <w:pPr>
              <w:autoSpaceDE w:val="0"/>
              <w:autoSpaceDN w:val="0"/>
              <w:adjustRightInd w:val="0"/>
              <w:ind w:firstLine="567"/>
              <w:jc w:val="both"/>
              <w:rPr>
                <w:sz w:val="28"/>
                <w:szCs w:val="28"/>
              </w:rPr>
            </w:pPr>
          </w:p>
          <w:p w:rsidR="00245FF7" w:rsidRPr="00AF15E6" w:rsidRDefault="00245FF7" w:rsidP="00245FF7">
            <w:pPr>
              <w:pStyle w:val="a4"/>
              <w:jc w:val="left"/>
              <w:rPr>
                <w:b w:val="0"/>
                <w:bCs w:val="0"/>
              </w:rPr>
            </w:pPr>
            <w:r w:rsidRPr="00AF15E6">
              <w:rPr>
                <w:b w:val="0"/>
                <w:bCs w:val="0"/>
              </w:rPr>
              <w:t>Глав</w:t>
            </w:r>
            <w:r w:rsidR="002252FB">
              <w:rPr>
                <w:b w:val="0"/>
                <w:bCs w:val="0"/>
              </w:rPr>
              <w:t>а</w:t>
            </w:r>
            <w:r w:rsidRPr="00AF15E6">
              <w:rPr>
                <w:b w:val="0"/>
                <w:bCs w:val="0"/>
              </w:rPr>
              <w:t xml:space="preserve"> городского округа           </w:t>
            </w:r>
            <w:r w:rsidR="006B4957" w:rsidRPr="00AF15E6">
              <w:rPr>
                <w:b w:val="0"/>
                <w:bCs w:val="0"/>
              </w:rPr>
              <w:t xml:space="preserve">    </w:t>
            </w:r>
            <w:r w:rsidR="0055099E" w:rsidRPr="00AF15E6">
              <w:rPr>
                <w:b w:val="0"/>
                <w:bCs w:val="0"/>
              </w:rPr>
              <w:t xml:space="preserve">    </w:t>
            </w:r>
            <w:r w:rsidRPr="00AF15E6">
              <w:rPr>
                <w:b w:val="0"/>
                <w:bCs w:val="0"/>
              </w:rPr>
              <w:t xml:space="preserve"> </w:t>
            </w:r>
            <w:r w:rsidR="00FA7DC0" w:rsidRPr="00AF15E6">
              <w:rPr>
                <w:b w:val="0"/>
                <w:bCs w:val="0"/>
              </w:rPr>
              <w:t xml:space="preserve">  </w:t>
            </w:r>
            <w:r w:rsidR="00FD6579" w:rsidRPr="00AF15E6">
              <w:rPr>
                <w:b w:val="0"/>
                <w:bCs w:val="0"/>
              </w:rPr>
              <w:t xml:space="preserve">   </w:t>
            </w:r>
            <w:r w:rsidR="00FA7DC0" w:rsidRPr="00AF15E6">
              <w:rPr>
                <w:b w:val="0"/>
                <w:bCs w:val="0"/>
              </w:rPr>
              <w:t xml:space="preserve">        </w:t>
            </w:r>
            <w:r w:rsidR="00C03532" w:rsidRPr="00AF15E6">
              <w:rPr>
                <w:b w:val="0"/>
                <w:bCs w:val="0"/>
              </w:rPr>
              <w:t xml:space="preserve">   </w:t>
            </w:r>
            <w:r w:rsidR="000A159D" w:rsidRPr="00AF15E6">
              <w:rPr>
                <w:b w:val="0"/>
                <w:bCs w:val="0"/>
              </w:rPr>
              <w:t xml:space="preserve"> </w:t>
            </w:r>
            <w:r w:rsidR="005F5CEF" w:rsidRPr="00AF15E6">
              <w:rPr>
                <w:b w:val="0"/>
                <w:bCs w:val="0"/>
              </w:rPr>
              <w:t xml:space="preserve">        </w:t>
            </w:r>
            <w:r w:rsidR="006C0000" w:rsidRPr="00AF15E6">
              <w:rPr>
                <w:b w:val="0"/>
                <w:bCs w:val="0"/>
              </w:rPr>
              <w:t xml:space="preserve">  </w:t>
            </w:r>
            <w:r w:rsidR="002252FB">
              <w:rPr>
                <w:b w:val="0"/>
                <w:bCs w:val="0"/>
              </w:rPr>
              <w:t xml:space="preserve">              В.Г. Кириченко</w:t>
            </w:r>
            <w:r w:rsidRPr="00AF15E6">
              <w:rPr>
                <w:b w:val="0"/>
                <w:bCs w:val="0"/>
              </w:rPr>
              <w:t xml:space="preserve">                </w:t>
            </w:r>
          </w:p>
          <w:p w:rsidR="00245FF7" w:rsidRPr="00AF15E6" w:rsidRDefault="00245FF7" w:rsidP="00B64AD3">
            <w:pPr>
              <w:pStyle w:val="a4"/>
              <w:jc w:val="left"/>
              <w:rPr>
                <w:b w:val="0"/>
                <w:bCs w:val="0"/>
              </w:rPr>
            </w:pPr>
            <w:r w:rsidRPr="00AF15E6">
              <w:rPr>
                <w:b w:val="0"/>
                <w:bCs w:val="0"/>
              </w:rPr>
              <w:t>Верхний Тагил</w:t>
            </w:r>
          </w:p>
        </w:tc>
      </w:tr>
      <w:tr w:rsidR="000F42B6" w:rsidTr="00245FF7">
        <w:trPr>
          <w:gridAfter w:val="1"/>
          <w:wAfter w:w="370" w:type="dxa"/>
          <w:trHeight w:val="6663"/>
        </w:trPr>
        <w:tc>
          <w:tcPr>
            <w:tcW w:w="236" w:type="dxa"/>
            <w:gridSpan w:val="2"/>
            <w:vMerge/>
          </w:tcPr>
          <w:p w:rsidR="000F42B6" w:rsidRPr="006B4957" w:rsidRDefault="000F42B6" w:rsidP="00B64AD3">
            <w:pPr>
              <w:pStyle w:val="a4"/>
              <w:jc w:val="both"/>
              <w:rPr>
                <w:b w:val="0"/>
                <w:bCs w:val="0"/>
                <w:sz w:val="27"/>
                <w:szCs w:val="27"/>
              </w:rPr>
            </w:pPr>
          </w:p>
        </w:tc>
        <w:tc>
          <w:tcPr>
            <w:tcW w:w="9319" w:type="dxa"/>
            <w:gridSpan w:val="3"/>
          </w:tcPr>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BA5B4A" w:rsidRDefault="00BA5B4A" w:rsidP="00776AF1">
            <w:pPr>
              <w:autoSpaceDE w:val="0"/>
              <w:autoSpaceDN w:val="0"/>
              <w:adjustRightInd w:val="0"/>
              <w:jc w:val="center"/>
              <w:rPr>
                <w:rFonts w:eastAsia="Calibri"/>
                <w:bCs/>
                <w:sz w:val="26"/>
                <w:szCs w:val="26"/>
              </w:rPr>
            </w:pPr>
          </w:p>
          <w:p w:rsidR="00BA5B4A" w:rsidRDefault="00BA5B4A"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tbl>
            <w:tblPr>
              <w:tblStyle w:val="a6"/>
              <w:tblW w:w="0" w:type="auto"/>
              <w:tblInd w:w="4932" w:type="dxa"/>
              <w:tblLayout w:type="fixed"/>
              <w:tblLook w:val="04A0" w:firstRow="1" w:lastRow="0" w:firstColumn="1" w:lastColumn="0" w:noHBand="0" w:noVBand="1"/>
            </w:tblPr>
            <w:tblGrid>
              <w:gridCol w:w="4161"/>
            </w:tblGrid>
            <w:tr w:rsidR="00BA5B4A" w:rsidTr="00BA5B4A">
              <w:tc>
                <w:tcPr>
                  <w:tcW w:w="4161" w:type="dxa"/>
                  <w:tcBorders>
                    <w:top w:val="nil"/>
                    <w:left w:val="nil"/>
                    <w:bottom w:val="nil"/>
                    <w:right w:val="nil"/>
                  </w:tcBorders>
                </w:tcPr>
                <w:p w:rsidR="00E10FEC" w:rsidRDefault="00E10FEC" w:rsidP="00BA5B4A">
                  <w:pPr>
                    <w:autoSpaceDE w:val="0"/>
                    <w:autoSpaceDN w:val="0"/>
                    <w:adjustRightInd w:val="0"/>
                    <w:rPr>
                      <w:rFonts w:eastAsia="Calibri"/>
                      <w:bCs/>
                    </w:rPr>
                  </w:pPr>
                </w:p>
                <w:p w:rsidR="00BA5B4A" w:rsidRPr="00BA5B4A" w:rsidRDefault="00BA5B4A" w:rsidP="00BA5B4A">
                  <w:pPr>
                    <w:autoSpaceDE w:val="0"/>
                    <w:autoSpaceDN w:val="0"/>
                    <w:adjustRightInd w:val="0"/>
                    <w:rPr>
                      <w:rFonts w:eastAsia="Calibri"/>
                      <w:bCs/>
                    </w:rPr>
                  </w:pPr>
                  <w:r w:rsidRPr="00BA5B4A">
                    <w:rPr>
                      <w:rFonts w:eastAsia="Calibri"/>
                      <w:bCs/>
                    </w:rPr>
                    <w:lastRenderedPageBreak/>
                    <w:t>Приложение</w:t>
                  </w:r>
                </w:p>
                <w:p w:rsidR="004753D6" w:rsidRDefault="00BA5B4A" w:rsidP="004753D6">
                  <w:pPr>
                    <w:autoSpaceDE w:val="0"/>
                    <w:autoSpaceDN w:val="0"/>
                    <w:adjustRightInd w:val="0"/>
                    <w:rPr>
                      <w:rFonts w:eastAsia="Calibri"/>
                      <w:bCs/>
                    </w:rPr>
                  </w:pPr>
                  <w:r w:rsidRPr="00BA5B4A">
                    <w:rPr>
                      <w:rFonts w:eastAsia="Calibri"/>
                      <w:bCs/>
                    </w:rPr>
                    <w:t>к постановлению администрации городског</w:t>
                  </w:r>
                  <w:bookmarkStart w:id="0" w:name="_GoBack"/>
                  <w:bookmarkEnd w:id="0"/>
                  <w:r w:rsidRPr="00BA5B4A">
                    <w:rPr>
                      <w:rFonts w:eastAsia="Calibri"/>
                      <w:bCs/>
                    </w:rPr>
                    <w:t xml:space="preserve">о округа Верхний Тагил </w:t>
                  </w:r>
                </w:p>
                <w:p w:rsidR="00BA5B4A" w:rsidRDefault="00BA5B4A" w:rsidP="00B158C9">
                  <w:pPr>
                    <w:autoSpaceDE w:val="0"/>
                    <w:autoSpaceDN w:val="0"/>
                    <w:adjustRightInd w:val="0"/>
                    <w:rPr>
                      <w:rFonts w:eastAsia="Calibri"/>
                      <w:bCs/>
                      <w:sz w:val="26"/>
                      <w:szCs w:val="26"/>
                    </w:rPr>
                  </w:pPr>
                  <w:r w:rsidRPr="00BA5B4A">
                    <w:rPr>
                      <w:rFonts w:eastAsia="Calibri"/>
                      <w:bCs/>
                    </w:rPr>
                    <w:t>от</w:t>
                  </w:r>
                  <w:r w:rsidR="004753D6">
                    <w:rPr>
                      <w:rFonts w:eastAsia="Calibri"/>
                      <w:bCs/>
                    </w:rPr>
                    <w:t xml:space="preserve"> </w:t>
                  </w:r>
                  <w:r w:rsidR="00B158C9">
                    <w:rPr>
                      <w:rFonts w:eastAsia="Calibri"/>
                      <w:bCs/>
                      <w:u w:val="single"/>
                    </w:rPr>
                    <w:t>10.06.</w:t>
                  </w:r>
                  <w:r w:rsidR="00102A8A">
                    <w:rPr>
                      <w:rFonts w:eastAsia="Calibri"/>
                      <w:bCs/>
                      <w:u w:val="single"/>
                    </w:rPr>
                    <w:t>2022 г.</w:t>
                  </w:r>
                  <w:r w:rsidR="00653DD2">
                    <w:rPr>
                      <w:rFonts w:eastAsia="Calibri"/>
                      <w:bCs/>
                    </w:rPr>
                    <w:t>_</w:t>
                  </w:r>
                  <w:r w:rsidRPr="00BA5B4A">
                    <w:rPr>
                      <w:rFonts w:eastAsia="Calibri"/>
                      <w:bCs/>
                    </w:rPr>
                    <w:t xml:space="preserve"> № </w:t>
                  </w:r>
                  <w:r w:rsidR="00B158C9">
                    <w:rPr>
                      <w:rFonts w:eastAsia="Calibri"/>
                      <w:bCs/>
                      <w:u w:val="single"/>
                    </w:rPr>
                    <w:t>439</w:t>
                  </w:r>
                  <w:r w:rsidRPr="00BA5B4A">
                    <w:rPr>
                      <w:rFonts w:eastAsia="Calibri"/>
                      <w:bCs/>
                    </w:rPr>
                    <w:t>_</w:t>
                  </w:r>
                </w:p>
              </w:tc>
            </w:tr>
          </w:tbl>
          <w:p w:rsidR="00AF15E6" w:rsidRDefault="00AF15E6" w:rsidP="00776AF1">
            <w:pPr>
              <w:autoSpaceDE w:val="0"/>
              <w:autoSpaceDN w:val="0"/>
              <w:adjustRightInd w:val="0"/>
              <w:jc w:val="center"/>
              <w:rPr>
                <w:rFonts w:eastAsia="Calibri"/>
                <w:bCs/>
                <w:sz w:val="26"/>
                <w:szCs w:val="26"/>
              </w:rPr>
            </w:pPr>
          </w:p>
          <w:p w:rsidR="00AF15E6" w:rsidRDefault="00AF15E6" w:rsidP="00776AF1">
            <w:pPr>
              <w:autoSpaceDE w:val="0"/>
              <w:autoSpaceDN w:val="0"/>
              <w:adjustRightInd w:val="0"/>
              <w:jc w:val="center"/>
              <w:rPr>
                <w:rFonts w:eastAsia="Calibri"/>
                <w:bCs/>
                <w:sz w:val="26"/>
                <w:szCs w:val="26"/>
              </w:rPr>
            </w:pP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РАСЧЕТ</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ОПРЕДЕЛЕНИЯ СРЕДНЕЙ РЫНОЧНОЙ СТОИМОСТИ</w:t>
            </w:r>
          </w:p>
          <w:p w:rsidR="00776AF1" w:rsidRPr="00776AF1" w:rsidRDefault="00776AF1" w:rsidP="00776AF1">
            <w:pPr>
              <w:autoSpaceDE w:val="0"/>
              <w:autoSpaceDN w:val="0"/>
              <w:adjustRightInd w:val="0"/>
              <w:jc w:val="center"/>
              <w:rPr>
                <w:rFonts w:eastAsia="Calibri"/>
                <w:bCs/>
                <w:sz w:val="26"/>
                <w:szCs w:val="26"/>
              </w:rPr>
            </w:pPr>
            <w:r w:rsidRPr="00776AF1">
              <w:rPr>
                <w:rFonts w:eastAsia="Calibri"/>
                <w:bCs/>
                <w:sz w:val="26"/>
                <w:szCs w:val="26"/>
              </w:rPr>
              <w:t>ОДНОГО КВАДРАТНОГО МЕТРА ОБЩЕЙ ПЛОЩАДИ ЖИЛЫХ ПОМЕЩЕНИЙ,</w:t>
            </w:r>
            <w:r>
              <w:rPr>
                <w:rFonts w:eastAsia="Calibri"/>
                <w:bCs/>
                <w:sz w:val="26"/>
                <w:szCs w:val="26"/>
              </w:rPr>
              <w:t xml:space="preserve"> </w:t>
            </w:r>
            <w:r w:rsidRPr="00776AF1">
              <w:rPr>
                <w:rFonts w:eastAsia="Calibri"/>
                <w:bCs/>
                <w:sz w:val="26"/>
                <w:szCs w:val="26"/>
              </w:rPr>
              <w:t>СЛОЖИВШЕЙСЯ НА ТЕРРИТОРИИ ГОРОДСКОГО ОКРУГА ВЕРХН</w:t>
            </w:r>
            <w:r>
              <w:rPr>
                <w:rFonts w:eastAsia="Calibri"/>
                <w:bCs/>
                <w:sz w:val="26"/>
                <w:szCs w:val="26"/>
              </w:rPr>
              <w:t xml:space="preserve">ИЙ ТАГИЛ </w:t>
            </w:r>
            <w:r w:rsidRPr="00776AF1">
              <w:rPr>
                <w:rFonts w:eastAsia="Calibri"/>
                <w:bCs/>
                <w:sz w:val="26"/>
                <w:szCs w:val="26"/>
              </w:rPr>
              <w:t>НА I</w:t>
            </w:r>
            <w:r w:rsidR="00CD2660">
              <w:rPr>
                <w:rFonts w:eastAsia="Calibri"/>
                <w:bCs/>
                <w:sz w:val="26"/>
                <w:szCs w:val="26"/>
                <w:lang w:val="en-US"/>
              </w:rPr>
              <w:t>I</w:t>
            </w:r>
            <w:r w:rsidR="002252FB">
              <w:rPr>
                <w:rFonts w:eastAsia="Calibri"/>
                <w:bCs/>
                <w:sz w:val="26"/>
                <w:szCs w:val="26"/>
                <w:lang w:val="en-US"/>
              </w:rPr>
              <w:t>I</w:t>
            </w:r>
            <w:r w:rsidRPr="00776AF1">
              <w:rPr>
                <w:rFonts w:eastAsia="Calibri"/>
                <w:bCs/>
                <w:sz w:val="26"/>
                <w:szCs w:val="26"/>
              </w:rPr>
              <w:t xml:space="preserve"> КВАРТАЛ 202</w:t>
            </w:r>
            <w:r w:rsidR="00780E47">
              <w:rPr>
                <w:rFonts w:eastAsia="Calibri"/>
                <w:bCs/>
                <w:sz w:val="26"/>
                <w:szCs w:val="26"/>
              </w:rPr>
              <w:t>2</w:t>
            </w:r>
            <w:r w:rsidRPr="00776AF1">
              <w:rPr>
                <w:rFonts w:eastAsia="Calibri"/>
                <w:bCs/>
                <w:sz w:val="26"/>
                <w:szCs w:val="26"/>
              </w:rPr>
              <w:t xml:space="preserve"> ГОДА</w:t>
            </w:r>
          </w:p>
          <w:p w:rsidR="00776AF1" w:rsidRDefault="00776AF1" w:rsidP="00776AF1">
            <w:pPr>
              <w:autoSpaceDE w:val="0"/>
              <w:autoSpaceDN w:val="0"/>
              <w:adjustRightInd w:val="0"/>
              <w:ind w:firstLine="540"/>
              <w:jc w:val="both"/>
              <w:outlineLvl w:val="0"/>
              <w:rPr>
                <w:rFonts w:eastAsia="Calibri"/>
                <w:b/>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 xml:space="preserve">Расчетный показатель средней рыночной стоимости жилья на планируемый квартал по </w:t>
            </w:r>
            <w:r w:rsidR="001C02D5">
              <w:rPr>
                <w:rFonts w:eastAsia="Calibri"/>
                <w:bCs/>
                <w:sz w:val="26"/>
                <w:szCs w:val="26"/>
              </w:rPr>
              <w:t>г</w:t>
            </w:r>
            <w:r w:rsidRPr="00776AF1">
              <w:rPr>
                <w:rFonts w:eastAsia="Calibri"/>
                <w:bCs/>
                <w:sz w:val="26"/>
                <w:szCs w:val="26"/>
              </w:rPr>
              <w:t>ородскому округу Верхн</w:t>
            </w:r>
            <w:r w:rsidR="001C02D5">
              <w:rPr>
                <w:rFonts w:eastAsia="Calibri"/>
                <w:bCs/>
                <w:sz w:val="26"/>
                <w:szCs w:val="26"/>
              </w:rPr>
              <w:t>ий Тагил</w:t>
            </w:r>
            <w:r w:rsidRPr="00776AF1">
              <w:rPr>
                <w:rFonts w:eastAsia="Calibri"/>
                <w:bCs/>
                <w:sz w:val="26"/>
                <w:szCs w:val="26"/>
              </w:rPr>
              <w:t xml:space="preserve"> определяется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29"/>
                <w:sz w:val="26"/>
                <w:szCs w:val="26"/>
              </w:rPr>
              <w:drawing>
                <wp:inline distT="0" distB="0" distL="0" distR="0">
                  <wp:extent cx="3038475" cy="5429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542925"/>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РПС - расчетный показатель средней рыночной стоимости жилья на планируемый квартал по муниципальному образованию;</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Цпр</w:t>
            </w:r>
            <w:proofErr w:type="spellEnd"/>
            <w:r w:rsidRPr="00776AF1">
              <w:rPr>
                <w:rFonts w:eastAsia="Calibri"/>
                <w:bCs/>
                <w:sz w:val="26"/>
                <w:szCs w:val="26"/>
              </w:rPr>
              <w:t xml:space="preserve"> - средняя цена одного квадратного метра общей площади жилья на первичном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в соответствующем муниципальном образовании (приказ Министерства строительства Российской Федерации);</w:t>
            </w:r>
          </w:p>
          <w:p w:rsidR="00776AF1" w:rsidRPr="00776AF1" w:rsidRDefault="00776AF1" w:rsidP="00776AF1">
            <w:pPr>
              <w:autoSpaceDE w:val="0"/>
              <w:autoSpaceDN w:val="0"/>
              <w:adjustRightInd w:val="0"/>
              <w:spacing w:before="260"/>
              <w:ind w:firstLine="540"/>
              <w:jc w:val="both"/>
              <w:rPr>
                <w:rFonts w:eastAsia="Calibri"/>
                <w:bCs/>
                <w:sz w:val="26"/>
                <w:szCs w:val="26"/>
              </w:rPr>
            </w:pPr>
            <w:proofErr w:type="spellStart"/>
            <w:r w:rsidRPr="00776AF1">
              <w:rPr>
                <w:rFonts w:eastAsia="Calibri"/>
                <w:bCs/>
                <w:sz w:val="26"/>
                <w:szCs w:val="26"/>
              </w:rPr>
              <w:t>Идефл</w:t>
            </w:r>
            <w:proofErr w:type="spellEnd"/>
            <w:r w:rsidRPr="00776AF1">
              <w:rPr>
                <w:rFonts w:eastAsia="Calibri"/>
                <w:bCs/>
                <w:sz w:val="26"/>
                <w:szCs w:val="26"/>
              </w:rPr>
              <w:t xml:space="preserve">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Индекс-дефлятор </w:t>
            </w:r>
            <w:r w:rsidR="00264DA9">
              <w:rPr>
                <w:rFonts w:eastAsia="Calibri"/>
                <w:bCs/>
                <w:sz w:val="26"/>
                <w:szCs w:val="26"/>
              </w:rPr>
              <w:t>по отрасли «Строительство (базовый вариант)» согласно опубликованному Прогнозу социально-экономического развития Российской Федерации на 2022 год и на плановый период 2023 и 2024 годов</w:t>
            </w:r>
            <w:r w:rsidR="00431834">
              <w:rPr>
                <w:rFonts w:eastAsia="Calibri"/>
                <w:bCs/>
                <w:sz w:val="26"/>
                <w:szCs w:val="26"/>
              </w:rPr>
              <w:t xml:space="preserve"> составил 104,3%.</w:t>
            </w:r>
          </w:p>
          <w:p w:rsidR="00B76CBB" w:rsidRDefault="00B76CBB" w:rsidP="00431834">
            <w:pPr>
              <w:ind w:firstLine="540"/>
              <w:jc w:val="both"/>
              <w:rPr>
                <w:rFonts w:eastAsia="Calibri"/>
                <w:bCs/>
                <w:sz w:val="26"/>
                <w:szCs w:val="26"/>
              </w:rPr>
            </w:pPr>
          </w:p>
          <w:p w:rsidR="00431834" w:rsidRPr="000A159D" w:rsidRDefault="00431834" w:rsidP="00431834">
            <w:pPr>
              <w:ind w:firstLine="540"/>
              <w:jc w:val="both"/>
              <w:rPr>
                <w:rFonts w:eastAsia="Calibri"/>
                <w:bCs/>
                <w:sz w:val="26"/>
                <w:szCs w:val="26"/>
              </w:rPr>
            </w:pPr>
            <w:r>
              <w:rPr>
                <w:rFonts w:eastAsia="Calibri"/>
                <w:bCs/>
                <w:sz w:val="26"/>
                <w:szCs w:val="26"/>
              </w:rPr>
              <w:t xml:space="preserve">Квартальное значение составляет: </w:t>
            </w:r>
            <m:oMath>
              <m:rad>
                <m:radPr>
                  <m:ctrlPr>
                    <w:rPr>
                      <w:rFonts w:ascii="Cambria Math" w:eastAsia="Calibri" w:hAnsi="Cambria Math"/>
                      <w:bCs/>
                      <w:i/>
                      <w:sz w:val="26"/>
                      <w:szCs w:val="26"/>
                    </w:rPr>
                  </m:ctrlPr>
                </m:radPr>
                <m:deg>
                  <m:r>
                    <w:rPr>
                      <w:rFonts w:ascii="Cambria Math" w:eastAsia="Calibri" w:hAnsi="Cambria Math"/>
                      <w:sz w:val="26"/>
                      <w:szCs w:val="26"/>
                    </w:rPr>
                    <m:t>4</m:t>
                  </m:r>
                </m:deg>
                <m:e>
                  <m:r>
                    <w:rPr>
                      <w:rFonts w:ascii="Cambria Math" w:eastAsia="Calibri" w:hAnsi="Cambria Math"/>
                      <w:sz w:val="26"/>
                      <w:szCs w:val="26"/>
                    </w:rPr>
                    <m:t>1,043</m:t>
                  </m:r>
                </m:e>
              </m:rad>
              <m:r>
                <w:rPr>
                  <w:rFonts w:ascii="Cambria Math" w:eastAsia="Calibri" w:hAnsi="Cambria Math"/>
                  <w:sz w:val="26"/>
                  <w:szCs w:val="26"/>
                </w:rPr>
                <m:t>=1,011</m:t>
              </m:r>
            </m:oMath>
          </w:p>
          <w:p w:rsidR="009C6779" w:rsidRPr="00237350" w:rsidRDefault="009C6779" w:rsidP="009C6779"/>
          <w:p w:rsidR="009C6779" w:rsidRDefault="009C6779" w:rsidP="009C6779">
            <w:r w:rsidRPr="00237350">
              <w:t xml:space="preserve">    </w:t>
            </w:r>
            <w:r w:rsidR="008D784A">
              <w:t xml:space="preserve">РПС= </w:t>
            </w:r>
            <w:r w:rsidR="00897DE0">
              <w:t>[</w:t>
            </w:r>
            <w:r w:rsidR="008D784A">
              <w:t>(</w:t>
            </w:r>
            <w:r w:rsidR="003831B5">
              <w:t>92813</w:t>
            </w:r>
            <w:r w:rsidR="008D784A">
              <w:t>+1</w:t>
            </w:r>
            <w:r w:rsidR="00DF448F">
              <w:t>615</w:t>
            </w:r>
            <w:r w:rsidR="00047405">
              <w:t>8</w:t>
            </w:r>
            <w:r w:rsidR="008D784A">
              <w:t>+</w:t>
            </w:r>
            <w:proofErr w:type="gramStart"/>
            <w:r w:rsidR="00D63F79">
              <w:t>4828</w:t>
            </w:r>
            <w:r w:rsidR="00250740">
              <w:t>9</w:t>
            </w:r>
            <w:r w:rsidR="008D784A">
              <w:t>)/</w:t>
            </w:r>
            <w:proofErr w:type="gramEnd"/>
            <w:r w:rsidR="008D784A">
              <w:t>3</w:t>
            </w:r>
            <w:r w:rsidR="00897DE0">
              <w:t>]</w:t>
            </w:r>
            <w:r w:rsidRPr="00237350">
              <w:fldChar w:fldCharType="begin"/>
            </w:r>
            <w:r w:rsidRPr="00237350">
              <w:instrText xml:space="preserve"> QUOTE </w:instrText>
            </w:r>
            <m:oMath>
              <m:r>
                <m:rPr>
                  <m:sty m:val="p"/>
                </m:rPr>
                <w:rPr>
                  <w:rFonts w:ascii="Cambria Math" w:hAnsi="Cambria Math" w:cs="Cambria Math"/>
                </w:rPr>
                <m:t>РПС=</m:t>
              </m:r>
              <m:f>
                <m:fPr>
                  <m:ctrlPr>
                    <w:rPr>
                      <w:rFonts w:ascii="Cambria Math" w:hAnsi="Cambria Math"/>
                    </w:rPr>
                  </m:ctrlPr>
                </m:fPr>
                <m:num>
                  <m:d>
                    <m:dPr>
                      <m:ctrlPr>
                        <w:rPr>
                          <w:rFonts w:ascii="Cambria Math" w:hAnsi="Cambria Math"/>
                          <w:i/>
                        </w:rPr>
                      </m:ctrlPr>
                    </m:dPr>
                    <m:e>
                      <m:r>
                        <m:rPr>
                          <m:sty m:val="p"/>
                        </m:rPr>
                        <w:rPr>
                          <w:rFonts w:ascii="Cambria Math" w:hAnsi="Cambria Math"/>
                        </w:rPr>
                        <m:t>60810+13110+53645,2</m:t>
                      </m:r>
                    </m:e>
                  </m:d>
                </m:num>
                <m:den>
                  <m:r>
                    <m:rPr>
                      <m:sty m:val="p"/>
                    </m:rPr>
                    <w:rPr>
                      <w:rFonts w:ascii="Cambria Math" w:hAnsi="Cambria Math"/>
                    </w:rPr>
                    <m:t>3</m:t>
                  </m:r>
                </m:den>
              </m:f>
            </m:oMath>
            <w:r w:rsidRPr="00237350">
              <w:instrText xml:space="preserve"> </w:instrText>
            </w:r>
            <w:r w:rsidRPr="00237350">
              <w:fldChar w:fldCharType="end"/>
            </w:r>
            <w:r w:rsidRPr="009C6779">
              <w:t>*1,</w:t>
            </w:r>
            <w:r w:rsidR="00431834">
              <w:t>011</w:t>
            </w:r>
            <w:r w:rsidRPr="009C6779">
              <w:t>=</w:t>
            </w:r>
            <w:r w:rsidR="00DF448F">
              <w:t>5</w:t>
            </w:r>
            <w:r w:rsidR="00E10FEC">
              <w:t>2997</w:t>
            </w:r>
            <w:r w:rsidRPr="009C6779">
              <w:t xml:space="preserve"> </w:t>
            </w:r>
            <w:proofErr w:type="spellStart"/>
            <w:r w:rsidRPr="009C6779">
              <w:t>руб</w:t>
            </w:r>
            <w:proofErr w:type="spellEnd"/>
            <w:r w:rsidRPr="009C6779">
              <w:t>/м2</w:t>
            </w:r>
            <w:r>
              <w:t>, где</w:t>
            </w:r>
          </w:p>
          <w:p w:rsidR="009C6779" w:rsidRDefault="009C6779"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r w:rsidRPr="00776AF1">
              <w:rPr>
                <w:rFonts w:eastAsia="Calibri"/>
                <w:bCs/>
                <w:sz w:val="26"/>
                <w:szCs w:val="26"/>
              </w:rPr>
              <w:t>Ввиду отсутствия данных на первичном рынке жилья расчет средней цены одного квадратного метра общей площади жилого помещения на первичном рынке жилья осуществляется по следующей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lastRenderedPageBreak/>
              <w:t>Цпр</w:t>
            </w:r>
            <w:proofErr w:type="spellEnd"/>
            <w:r w:rsidRPr="00776AF1">
              <w:rPr>
                <w:rFonts w:eastAsia="Calibri"/>
                <w:bCs/>
                <w:sz w:val="26"/>
                <w:szCs w:val="26"/>
              </w:rPr>
              <w:t xml:space="preserve"> = </w:t>
            </w:r>
            <w:proofErr w:type="spellStart"/>
            <w:r w:rsidRPr="00776AF1">
              <w:rPr>
                <w:rFonts w:eastAsia="Calibri"/>
                <w:bCs/>
                <w:sz w:val="26"/>
                <w:szCs w:val="26"/>
              </w:rPr>
              <w:t>Сстр</w:t>
            </w:r>
            <w:proofErr w:type="spellEnd"/>
            <w:r w:rsidRPr="00776AF1">
              <w:rPr>
                <w:rFonts w:eastAsia="Calibri"/>
                <w:bCs/>
                <w:sz w:val="26"/>
                <w:szCs w:val="26"/>
              </w:rPr>
              <w:t xml:space="preserve"> x 1,06,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средняя стоимость строительства жилья соответствует стоимости одного квадратного метра общей площади жилого помещения по Свердловской области в текущем квартале (источник: </w:t>
            </w:r>
            <w:r w:rsidR="00884BDF">
              <w:rPr>
                <w:rFonts w:eastAsia="Calibri"/>
                <w:bCs/>
                <w:sz w:val="26"/>
                <w:szCs w:val="26"/>
              </w:rPr>
              <w:t>Приказ М</w:t>
            </w:r>
            <w:r w:rsidRPr="00776AF1">
              <w:rPr>
                <w:rFonts w:eastAsia="Calibri"/>
                <w:bCs/>
                <w:sz w:val="26"/>
                <w:szCs w:val="26"/>
              </w:rPr>
              <w:t xml:space="preserve">инистерства строительства и жилищно-коммунального хозяйства Российской Федерации от </w:t>
            </w:r>
            <w:r w:rsidR="003831B5">
              <w:rPr>
                <w:rFonts w:eastAsia="Calibri"/>
                <w:bCs/>
                <w:sz w:val="26"/>
                <w:szCs w:val="26"/>
              </w:rPr>
              <w:t>29.03.2022</w:t>
            </w:r>
            <w:r w:rsidRPr="00776AF1">
              <w:rPr>
                <w:rFonts w:eastAsia="Calibri"/>
                <w:bCs/>
                <w:sz w:val="26"/>
                <w:szCs w:val="26"/>
              </w:rPr>
              <w:t xml:space="preserve"> </w:t>
            </w:r>
            <w:r w:rsidR="007B2A03">
              <w:rPr>
                <w:rFonts w:eastAsia="Calibri"/>
                <w:bCs/>
                <w:sz w:val="26"/>
                <w:szCs w:val="26"/>
              </w:rPr>
              <w:t>№</w:t>
            </w:r>
            <w:r w:rsidR="003831B5">
              <w:rPr>
                <w:rFonts w:eastAsia="Calibri"/>
                <w:bCs/>
                <w:sz w:val="26"/>
                <w:szCs w:val="26"/>
              </w:rPr>
              <w:t>215/</w:t>
            </w:r>
            <w:proofErr w:type="spellStart"/>
            <w:r w:rsidR="003831B5">
              <w:rPr>
                <w:rFonts w:eastAsia="Calibri"/>
                <w:bCs/>
                <w:sz w:val="26"/>
                <w:szCs w:val="26"/>
              </w:rPr>
              <w:t>пр</w:t>
            </w:r>
            <w:proofErr w:type="spellEnd"/>
            <w:r w:rsidRPr="00776AF1">
              <w:rPr>
                <w:rFonts w:eastAsia="Calibri"/>
                <w:bCs/>
                <w:sz w:val="26"/>
                <w:szCs w:val="26"/>
              </w:rPr>
              <w:t>);</w:t>
            </w:r>
          </w:p>
          <w:p w:rsid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1,06 - коэффициент, учитывающий долю прибыли от фактических затрат застройщика.</w:t>
            </w:r>
          </w:p>
          <w:p w:rsidR="00780E47" w:rsidRDefault="00780E47" w:rsidP="00780E47">
            <w:pPr>
              <w:autoSpaceDE w:val="0"/>
              <w:autoSpaceDN w:val="0"/>
              <w:adjustRightInd w:val="0"/>
              <w:ind w:firstLine="540"/>
              <w:jc w:val="both"/>
              <w:rPr>
                <w:rFonts w:eastAsia="Calibri"/>
                <w:bCs/>
                <w:sz w:val="26"/>
                <w:szCs w:val="26"/>
              </w:rPr>
            </w:pPr>
          </w:p>
          <w:p w:rsidR="00780E47" w:rsidRPr="00776AF1" w:rsidRDefault="00780E47" w:rsidP="00780E47">
            <w:pPr>
              <w:autoSpaceDE w:val="0"/>
              <w:autoSpaceDN w:val="0"/>
              <w:adjustRightInd w:val="0"/>
              <w:ind w:firstLine="540"/>
              <w:jc w:val="both"/>
              <w:rPr>
                <w:rFonts w:eastAsia="Calibri"/>
                <w:bCs/>
                <w:sz w:val="26"/>
                <w:szCs w:val="26"/>
              </w:rPr>
            </w:pPr>
            <w:proofErr w:type="spellStart"/>
            <w:r>
              <w:rPr>
                <w:rFonts w:eastAsia="Calibri"/>
                <w:bCs/>
                <w:sz w:val="26"/>
                <w:szCs w:val="26"/>
              </w:rPr>
              <w:t>Цпр</w:t>
            </w:r>
            <w:proofErr w:type="spellEnd"/>
            <w:r>
              <w:rPr>
                <w:rFonts w:eastAsia="Calibri"/>
                <w:bCs/>
                <w:sz w:val="26"/>
                <w:szCs w:val="26"/>
              </w:rPr>
              <w:t xml:space="preserve"> = (</w:t>
            </w:r>
            <w:r w:rsidR="00884BDF" w:rsidRPr="00207908">
              <w:rPr>
                <w:rFonts w:eastAsia="Calibri"/>
                <w:bCs/>
                <w:sz w:val="26"/>
                <w:szCs w:val="26"/>
              </w:rPr>
              <w:t>8</w:t>
            </w:r>
            <w:r w:rsidR="003831B5">
              <w:rPr>
                <w:rFonts w:eastAsia="Calibri"/>
                <w:bCs/>
                <w:sz w:val="26"/>
                <w:szCs w:val="26"/>
              </w:rPr>
              <w:t>7559</w:t>
            </w:r>
            <w:r w:rsidRPr="00207908">
              <w:rPr>
                <w:rFonts w:eastAsia="Calibri"/>
                <w:bCs/>
                <w:sz w:val="26"/>
                <w:szCs w:val="26"/>
              </w:rPr>
              <w:t xml:space="preserve"> руб.</w:t>
            </w:r>
            <w:r>
              <w:rPr>
                <w:rFonts w:eastAsia="Calibri"/>
                <w:bCs/>
                <w:sz w:val="26"/>
                <w:szCs w:val="26"/>
              </w:rPr>
              <w:t xml:space="preserve"> x 1,06) = </w:t>
            </w:r>
            <w:r w:rsidR="003831B5">
              <w:rPr>
                <w:rFonts w:eastAsia="Calibri"/>
                <w:bCs/>
                <w:sz w:val="26"/>
                <w:szCs w:val="26"/>
              </w:rPr>
              <w:t>92813</w:t>
            </w:r>
            <w:r w:rsidRPr="00776AF1">
              <w:rPr>
                <w:rFonts w:eastAsia="Calibri"/>
                <w:bCs/>
                <w:sz w:val="26"/>
                <w:szCs w:val="26"/>
              </w:rPr>
              <w:t xml:space="preserve"> руб.</w:t>
            </w:r>
          </w:p>
          <w:p w:rsidR="00776AF1" w:rsidRPr="00776AF1" w:rsidRDefault="00776AF1" w:rsidP="00776AF1">
            <w:pPr>
              <w:autoSpaceDE w:val="0"/>
              <w:autoSpaceDN w:val="0"/>
              <w:adjustRightInd w:val="0"/>
              <w:spacing w:before="260"/>
              <w:ind w:firstLine="540"/>
              <w:jc w:val="both"/>
              <w:rPr>
                <w:rFonts w:eastAsia="Calibri"/>
                <w:bCs/>
                <w:sz w:val="26"/>
                <w:szCs w:val="26"/>
              </w:rPr>
            </w:pPr>
            <w:r w:rsidRPr="00776AF1">
              <w:rPr>
                <w:rFonts w:eastAsia="Calibri"/>
                <w:bCs/>
                <w:sz w:val="26"/>
                <w:szCs w:val="26"/>
              </w:rPr>
              <w:t xml:space="preserve">Расчетный показатель среднерыночной цены одного квадратного метра общей площади жилого помещения на вторичном рынке жилья по </w:t>
            </w:r>
            <w:r w:rsidR="007B2A03">
              <w:rPr>
                <w:rFonts w:eastAsia="Calibri"/>
                <w:bCs/>
                <w:sz w:val="26"/>
                <w:szCs w:val="26"/>
              </w:rPr>
              <w:t>г</w:t>
            </w:r>
            <w:r w:rsidRPr="00776AF1">
              <w:rPr>
                <w:rFonts w:eastAsia="Calibri"/>
                <w:bCs/>
                <w:sz w:val="26"/>
                <w:szCs w:val="26"/>
              </w:rPr>
              <w:t>ородскому округу Верхн</w:t>
            </w:r>
            <w:r w:rsidR="007B2A03">
              <w:rPr>
                <w:rFonts w:eastAsia="Calibri"/>
                <w:bCs/>
                <w:sz w:val="26"/>
                <w:szCs w:val="26"/>
              </w:rPr>
              <w:t>ий Тагил</w:t>
            </w:r>
            <w:r w:rsidRPr="00776AF1">
              <w:rPr>
                <w:rFonts w:eastAsia="Calibri"/>
                <w:bCs/>
                <w:sz w:val="26"/>
                <w:szCs w:val="26"/>
              </w:rPr>
              <w:t xml:space="preserve"> рассчитывается по формуле: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916B1C" w:rsidP="00776AF1">
            <w:pPr>
              <w:autoSpaceDE w:val="0"/>
              <w:autoSpaceDN w:val="0"/>
              <w:adjustRightInd w:val="0"/>
              <w:ind w:firstLine="540"/>
              <w:jc w:val="both"/>
              <w:rPr>
                <w:rFonts w:eastAsia="Calibri"/>
                <w:bCs/>
                <w:sz w:val="26"/>
                <w:szCs w:val="26"/>
              </w:rPr>
            </w:pPr>
            <w:r>
              <w:rPr>
                <w:rFonts w:eastAsia="Calibri"/>
                <w:bCs/>
                <w:noProof/>
                <w:position w:val="-36"/>
                <w:sz w:val="26"/>
                <w:szCs w:val="26"/>
              </w:rPr>
              <w:drawing>
                <wp:inline distT="0" distB="0" distL="0" distR="0">
                  <wp:extent cx="21717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28650"/>
                          </a:xfrm>
                          <a:prstGeom prst="rect">
                            <a:avLst/>
                          </a:prstGeom>
                          <a:noFill/>
                          <a:ln>
                            <a:noFill/>
                          </a:ln>
                        </pic:spPr>
                      </pic:pic>
                    </a:graphicData>
                  </a:graphic>
                </wp:inline>
              </w:drawing>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Цвр</w:t>
            </w:r>
            <w:proofErr w:type="spellEnd"/>
            <w:r w:rsidRPr="00776AF1">
              <w:rPr>
                <w:rFonts w:eastAsia="Calibri"/>
                <w:bCs/>
                <w:sz w:val="26"/>
                <w:szCs w:val="26"/>
              </w:rPr>
              <w:t xml:space="preserve"> - средняя цена одного квадратного метра общей площади жилья на вторичном рынке жилья;</w:t>
            </w:r>
          </w:p>
          <w:p w:rsidR="00776AF1" w:rsidRP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1200150" cy="333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333375"/>
                          </a:xfrm>
                          <a:prstGeom prst="rect">
                            <a:avLst/>
                          </a:prstGeom>
                          <a:noFill/>
                          <a:ln>
                            <a:noFill/>
                          </a:ln>
                        </pic:spPr>
                      </pic:pic>
                    </a:graphicData>
                  </a:graphic>
                </wp:inline>
              </w:drawing>
            </w:r>
            <w:r w:rsidR="00776AF1" w:rsidRPr="00776AF1">
              <w:rPr>
                <w:rFonts w:eastAsia="Calibri"/>
                <w:bCs/>
                <w:sz w:val="26"/>
                <w:szCs w:val="26"/>
              </w:rPr>
              <w:t xml:space="preserve"> - общая сумма стоимости жилых помещений на вторичном рынке жилья, полученная в результате мониторинга и используемая в расчетах;</w:t>
            </w:r>
          </w:p>
          <w:p w:rsidR="00776AF1" w:rsidRDefault="00916B1C" w:rsidP="00776AF1">
            <w:pPr>
              <w:autoSpaceDE w:val="0"/>
              <w:autoSpaceDN w:val="0"/>
              <w:adjustRightInd w:val="0"/>
              <w:spacing w:before="260"/>
              <w:ind w:firstLine="540"/>
              <w:jc w:val="both"/>
              <w:rPr>
                <w:rFonts w:eastAsia="Calibri"/>
                <w:bCs/>
                <w:sz w:val="26"/>
                <w:szCs w:val="26"/>
              </w:rPr>
            </w:pPr>
            <w:r>
              <w:rPr>
                <w:rFonts w:eastAsia="Calibri"/>
                <w:bCs/>
                <w:noProof/>
                <w:position w:val="-13"/>
                <w:sz w:val="26"/>
                <w:szCs w:val="26"/>
              </w:rPr>
              <w:drawing>
                <wp:inline distT="0" distB="0" distL="0" distR="0">
                  <wp:extent cx="752475" cy="333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00776AF1" w:rsidRPr="00776AF1">
              <w:rPr>
                <w:rFonts w:eastAsia="Calibri"/>
                <w:bCs/>
                <w:sz w:val="26"/>
                <w:szCs w:val="26"/>
              </w:rPr>
              <w:t xml:space="preserve"> - общая сумма площадей жилых помещений на вторичном рынке жилья, полученная в результате мониторинга и используемая в расчетах.</w:t>
            </w:r>
          </w:p>
          <w:p w:rsidR="008C3C34" w:rsidRPr="008C3C34" w:rsidRDefault="008C3C34" w:rsidP="008C3C34">
            <w:pPr>
              <w:autoSpaceDE w:val="0"/>
              <w:autoSpaceDN w:val="0"/>
              <w:adjustRightInd w:val="0"/>
              <w:spacing w:before="260"/>
              <w:ind w:firstLine="540"/>
              <w:jc w:val="both"/>
              <w:rPr>
                <w:sz w:val="28"/>
                <w:szCs w:val="28"/>
              </w:rPr>
            </w:pPr>
            <w:r>
              <w:rPr>
                <w:rFonts w:eastAsia="Calibri"/>
                <w:bCs/>
                <w:sz w:val="26"/>
                <w:szCs w:val="26"/>
              </w:rPr>
              <w:t xml:space="preserve"> </w:t>
            </w:r>
            <m:oMath>
              <m:r>
                <w:rPr>
                  <w:rFonts w:ascii="Cambria Math" w:hAnsi="Cambria Math"/>
                </w:rPr>
                <m:t>Цвр=</m:t>
              </m:r>
              <m:f>
                <m:fPr>
                  <m:ctrlPr>
                    <w:rPr>
                      <w:rFonts w:ascii="Cambria Math" w:eastAsia="Calibri" w:hAnsi="Cambria Math"/>
                      <w:i/>
                      <w:sz w:val="22"/>
                      <w:szCs w:val="22"/>
                      <w:lang w:eastAsia="en-US"/>
                    </w:rPr>
                  </m:ctrlPr>
                </m:fPr>
                <m:num>
                  <m:r>
                    <w:rPr>
                      <w:rFonts w:ascii="Cambria Math" w:hAnsi="Cambria Math"/>
                    </w:rPr>
                    <m:t>13440000</m:t>
                  </m:r>
                </m:num>
                <m:den>
                  <m:r>
                    <w:rPr>
                      <w:rFonts w:ascii="Cambria Math" w:eastAsia="Calibri" w:hAnsi="Cambria Math"/>
                      <w:sz w:val="22"/>
                      <w:szCs w:val="22"/>
                      <w:lang w:eastAsia="en-US"/>
                    </w:rPr>
                    <m:t>831,8</m:t>
                  </m:r>
                </m:den>
              </m:f>
              <m:r>
                <w:rPr>
                  <w:rFonts w:ascii="Cambria Math" w:hAnsi="Cambria Math"/>
                </w:rPr>
                <m:t>=16158 руб./м2</m:t>
              </m:r>
            </m:oMath>
          </w:p>
          <w:p w:rsidR="00776AF1" w:rsidRPr="00776AF1" w:rsidRDefault="009C6779" w:rsidP="009C6779">
            <w:pPr>
              <w:autoSpaceDE w:val="0"/>
              <w:autoSpaceDN w:val="0"/>
              <w:adjustRightInd w:val="0"/>
              <w:spacing w:before="260"/>
              <w:ind w:firstLine="540"/>
              <w:jc w:val="both"/>
              <w:rPr>
                <w:rFonts w:eastAsia="Calibri"/>
                <w:bCs/>
                <w:sz w:val="26"/>
                <w:szCs w:val="26"/>
              </w:rPr>
            </w:pPr>
            <w:r>
              <w:rPr>
                <w:rFonts w:eastAsia="Calibri"/>
                <w:bCs/>
                <w:sz w:val="28"/>
                <w:szCs w:val="28"/>
              </w:rPr>
              <w:t xml:space="preserve">  </w:t>
            </w:r>
            <w:r w:rsidR="00776AF1" w:rsidRPr="00776AF1">
              <w:rPr>
                <w:rFonts w:eastAsia="Calibri"/>
                <w:bCs/>
                <w:sz w:val="26"/>
                <w:szCs w:val="26"/>
              </w:rPr>
              <w:t xml:space="preserve">Ввиду отсутствия строительства на территории </w:t>
            </w:r>
            <w:r w:rsidR="00815EA4">
              <w:rPr>
                <w:rFonts w:eastAsia="Calibri"/>
                <w:bCs/>
                <w:sz w:val="26"/>
                <w:szCs w:val="26"/>
              </w:rPr>
              <w:t>г</w:t>
            </w:r>
            <w:r w:rsidR="00776AF1" w:rsidRPr="00776AF1">
              <w:rPr>
                <w:rFonts w:eastAsia="Calibri"/>
                <w:bCs/>
                <w:sz w:val="26"/>
                <w:szCs w:val="26"/>
              </w:rPr>
              <w:t>ородского округа Верхн</w:t>
            </w:r>
            <w:r w:rsidR="00815EA4">
              <w:rPr>
                <w:rFonts w:eastAsia="Calibri"/>
                <w:bCs/>
                <w:sz w:val="26"/>
                <w:szCs w:val="26"/>
              </w:rPr>
              <w:t>ий</w:t>
            </w:r>
            <w:r w:rsidR="00776AF1" w:rsidRPr="00776AF1">
              <w:rPr>
                <w:rFonts w:eastAsia="Calibri"/>
                <w:bCs/>
                <w:sz w:val="26"/>
                <w:szCs w:val="26"/>
              </w:rPr>
              <w:t xml:space="preserve"> Т</w:t>
            </w:r>
            <w:r w:rsidR="00815EA4">
              <w:rPr>
                <w:rFonts w:eastAsia="Calibri"/>
                <w:bCs/>
                <w:sz w:val="26"/>
                <w:szCs w:val="26"/>
              </w:rPr>
              <w:t>агил</w:t>
            </w:r>
            <w:r w:rsidR="00776AF1" w:rsidRPr="00776AF1">
              <w:rPr>
                <w:rFonts w:eastAsia="Calibri"/>
                <w:bCs/>
                <w:sz w:val="26"/>
                <w:szCs w:val="26"/>
              </w:rPr>
              <w:t xml:space="preserve"> средняя стоимость строительства одного квадратного метра общей площади жилья применяется из статистических данных по средней стоимости строительства 1 квадратного метра общей площади отдельно стоящих жилых домов квартирного типа без пристроек, надстроек и встроенных помещений по Свердловской области, размещенных на официальном сайте Росстата в сети Интернет по адресу http://www.gks.ru/ (Раздел: Официальная статистика -&gt; Предпринимательство -&gt; Строительство -&gt; Оперативная информация), с учетом использования коэффициента 0,85.</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776AF1" w:rsidP="00776AF1">
            <w:pPr>
              <w:autoSpaceDE w:val="0"/>
              <w:autoSpaceDN w:val="0"/>
              <w:adjustRightInd w:val="0"/>
              <w:ind w:firstLine="540"/>
              <w:jc w:val="both"/>
              <w:rPr>
                <w:rFonts w:eastAsia="Calibri"/>
                <w:bCs/>
                <w:sz w:val="26"/>
                <w:szCs w:val="26"/>
              </w:rPr>
            </w:pPr>
            <w:proofErr w:type="spellStart"/>
            <w:r w:rsidRPr="00776AF1">
              <w:rPr>
                <w:rFonts w:eastAsia="Calibri"/>
                <w:bCs/>
                <w:sz w:val="26"/>
                <w:szCs w:val="26"/>
              </w:rPr>
              <w:t>Сстр</w:t>
            </w:r>
            <w:proofErr w:type="spellEnd"/>
            <w:r w:rsidRPr="00776AF1">
              <w:rPr>
                <w:rFonts w:eastAsia="Calibri"/>
                <w:bCs/>
                <w:sz w:val="26"/>
                <w:szCs w:val="26"/>
              </w:rPr>
              <w:t xml:space="preserve"> = </w:t>
            </w:r>
            <w:r w:rsidR="00207908">
              <w:rPr>
                <w:rFonts w:eastAsia="Calibri"/>
                <w:bCs/>
                <w:sz w:val="26"/>
                <w:szCs w:val="26"/>
              </w:rPr>
              <w:t>56810</w:t>
            </w:r>
            <w:r w:rsidRPr="00776AF1">
              <w:rPr>
                <w:rFonts w:eastAsia="Calibri"/>
                <w:bCs/>
                <w:sz w:val="26"/>
                <w:szCs w:val="26"/>
              </w:rPr>
              <w:t xml:space="preserve"> x 0,85 = </w:t>
            </w:r>
            <w:r w:rsidR="00207908">
              <w:rPr>
                <w:rFonts w:eastAsia="Calibri"/>
                <w:bCs/>
                <w:sz w:val="26"/>
                <w:szCs w:val="26"/>
              </w:rPr>
              <w:t>4828</w:t>
            </w:r>
            <w:r w:rsidR="00250740">
              <w:rPr>
                <w:rFonts w:eastAsia="Calibri"/>
                <w:bCs/>
                <w:sz w:val="26"/>
                <w:szCs w:val="26"/>
              </w:rPr>
              <w:t>9</w:t>
            </w:r>
            <w:r w:rsidRPr="00776AF1">
              <w:rPr>
                <w:rFonts w:eastAsia="Calibri"/>
                <w:bCs/>
                <w:sz w:val="26"/>
                <w:szCs w:val="26"/>
              </w:rPr>
              <w:t xml:space="preserve"> руб., где:</w:t>
            </w:r>
          </w:p>
          <w:p w:rsidR="00776AF1" w:rsidRPr="00776AF1" w:rsidRDefault="00776AF1" w:rsidP="00776AF1">
            <w:pPr>
              <w:autoSpaceDE w:val="0"/>
              <w:autoSpaceDN w:val="0"/>
              <w:adjustRightInd w:val="0"/>
              <w:ind w:firstLine="540"/>
              <w:jc w:val="both"/>
              <w:rPr>
                <w:rFonts w:eastAsia="Calibri"/>
                <w:bCs/>
                <w:sz w:val="26"/>
                <w:szCs w:val="26"/>
              </w:rPr>
            </w:pPr>
          </w:p>
          <w:p w:rsidR="00776AF1" w:rsidRPr="00776AF1" w:rsidRDefault="00F67D26" w:rsidP="00776AF1">
            <w:pPr>
              <w:autoSpaceDE w:val="0"/>
              <w:autoSpaceDN w:val="0"/>
              <w:adjustRightInd w:val="0"/>
              <w:ind w:firstLine="540"/>
              <w:jc w:val="both"/>
              <w:rPr>
                <w:rFonts w:eastAsia="Calibri"/>
                <w:bCs/>
                <w:sz w:val="26"/>
                <w:szCs w:val="26"/>
              </w:rPr>
            </w:pPr>
            <w:r>
              <w:rPr>
                <w:rFonts w:eastAsia="Calibri"/>
                <w:bCs/>
                <w:sz w:val="26"/>
                <w:szCs w:val="26"/>
              </w:rPr>
              <w:lastRenderedPageBreak/>
              <w:t>56810</w:t>
            </w:r>
            <w:r w:rsidR="00776AF1" w:rsidRPr="00776AF1">
              <w:rPr>
                <w:rFonts w:eastAsia="Calibri"/>
                <w:bCs/>
                <w:sz w:val="26"/>
                <w:szCs w:val="26"/>
              </w:rPr>
              <w:t xml:space="preserve"> руб. - средняя стоимость строительства 1 кв. метра общей площади жилых помещений во введенных в эксплуатацию жилых домах квартирного типа без пристроек, надстроек и встроенных помещений по </w:t>
            </w:r>
            <w:r w:rsidR="00780E47">
              <w:rPr>
                <w:rFonts w:eastAsia="Calibri"/>
                <w:bCs/>
                <w:sz w:val="26"/>
                <w:szCs w:val="26"/>
              </w:rPr>
              <w:t>Свердловской области</w:t>
            </w:r>
            <w:r w:rsidR="00776AF1" w:rsidRPr="00776AF1">
              <w:rPr>
                <w:rFonts w:eastAsia="Calibri"/>
                <w:bCs/>
                <w:sz w:val="26"/>
                <w:szCs w:val="26"/>
              </w:rPr>
              <w:t>;</w:t>
            </w:r>
          </w:p>
          <w:p w:rsidR="000F42B6" w:rsidRPr="006B4957" w:rsidRDefault="00776AF1" w:rsidP="00C0002B">
            <w:pPr>
              <w:autoSpaceDE w:val="0"/>
              <w:autoSpaceDN w:val="0"/>
              <w:adjustRightInd w:val="0"/>
              <w:spacing w:before="260"/>
              <w:ind w:firstLine="540"/>
              <w:jc w:val="both"/>
              <w:rPr>
                <w:b/>
                <w:bCs/>
                <w:sz w:val="27"/>
                <w:szCs w:val="27"/>
              </w:rPr>
            </w:pPr>
            <w:r w:rsidRPr="00776AF1">
              <w:rPr>
                <w:rFonts w:eastAsia="Calibri"/>
                <w:bCs/>
                <w:sz w:val="26"/>
                <w:szCs w:val="26"/>
              </w:rPr>
              <w:t>0,85 - коэффициент отдаленности административного центра муниципального образования от ближайшего наиболее крупного города Свердловской области.</w:t>
            </w:r>
          </w:p>
        </w:tc>
      </w:tr>
    </w:tbl>
    <w:p w:rsidR="000F42B6" w:rsidRDefault="000F42B6" w:rsidP="009D35D3">
      <w:pPr>
        <w:pStyle w:val="a4"/>
        <w:jc w:val="both"/>
        <w:rPr>
          <w:b w:val="0"/>
          <w:bCs w:val="0"/>
        </w:rPr>
      </w:pPr>
    </w:p>
    <w:sectPr w:rsidR="000F42B6" w:rsidSect="000A159D">
      <w:headerReference w:type="default" r:id="rId13"/>
      <w:pgSz w:w="11906" w:h="16838"/>
      <w:pgMar w:top="567"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0C" w:rsidRDefault="006C150C" w:rsidP="00003C8B">
      <w:r>
        <w:separator/>
      </w:r>
    </w:p>
  </w:endnote>
  <w:endnote w:type="continuationSeparator" w:id="0">
    <w:p w:rsidR="006C150C" w:rsidRDefault="006C150C" w:rsidP="0000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0C" w:rsidRDefault="006C150C" w:rsidP="00003C8B">
      <w:r>
        <w:separator/>
      </w:r>
    </w:p>
  </w:footnote>
  <w:footnote w:type="continuationSeparator" w:id="0">
    <w:p w:rsidR="006C150C" w:rsidRDefault="006C150C" w:rsidP="0000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D6B" w:rsidRDefault="00C03D6B">
    <w:pPr>
      <w:pStyle w:val="aa"/>
      <w:jc w:val="center"/>
    </w:pPr>
    <w:r>
      <w:fldChar w:fldCharType="begin"/>
    </w:r>
    <w:r>
      <w:instrText>PAGE   \* MERGEFORMAT</w:instrText>
    </w:r>
    <w:r>
      <w:fldChar w:fldCharType="separate"/>
    </w:r>
    <w:r w:rsidR="00B158C9">
      <w:rPr>
        <w:noProof/>
      </w:rPr>
      <w:t>5</w:t>
    </w:r>
    <w:r>
      <w:fldChar w:fldCharType="end"/>
    </w:r>
  </w:p>
  <w:p w:rsidR="00003C8B" w:rsidRPr="00003C8B" w:rsidRDefault="00003C8B" w:rsidP="00003C8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5"/>
    <w:rsid w:val="00001BB3"/>
    <w:rsid w:val="00003C8B"/>
    <w:rsid w:val="000045CD"/>
    <w:rsid w:val="00027361"/>
    <w:rsid w:val="00047405"/>
    <w:rsid w:val="00062BF7"/>
    <w:rsid w:val="00086947"/>
    <w:rsid w:val="00092442"/>
    <w:rsid w:val="000A159D"/>
    <w:rsid w:val="000E53D5"/>
    <w:rsid w:val="000E7F2E"/>
    <w:rsid w:val="000F42B6"/>
    <w:rsid w:val="00102A8A"/>
    <w:rsid w:val="00124B62"/>
    <w:rsid w:val="00142544"/>
    <w:rsid w:val="0016065B"/>
    <w:rsid w:val="00164D6F"/>
    <w:rsid w:val="001724FF"/>
    <w:rsid w:val="001C02D5"/>
    <w:rsid w:val="001E3CA0"/>
    <w:rsid w:val="00207908"/>
    <w:rsid w:val="002252FB"/>
    <w:rsid w:val="00232B73"/>
    <w:rsid w:val="00237350"/>
    <w:rsid w:val="00245FF7"/>
    <w:rsid w:val="00250740"/>
    <w:rsid w:val="00264DA9"/>
    <w:rsid w:val="0026729D"/>
    <w:rsid w:val="00270A8A"/>
    <w:rsid w:val="002A5A3F"/>
    <w:rsid w:val="002B1222"/>
    <w:rsid w:val="002F1BA1"/>
    <w:rsid w:val="00317A57"/>
    <w:rsid w:val="00321A8B"/>
    <w:rsid w:val="00324AAE"/>
    <w:rsid w:val="00334F9A"/>
    <w:rsid w:val="0034694E"/>
    <w:rsid w:val="00373ECB"/>
    <w:rsid w:val="00375030"/>
    <w:rsid w:val="003831B5"/>
    <w:rsid w:val="003A5C3A"/>
    <w:rsid w:val="003C740D"/>
    <w:rsid w:val="003E222B"/>
    <w:rsid w:val="00431834"/>
    <w:rsid w:val="00464BCD"/>
    <w:rsid w:val="004753D6"/>
    <w:rsid w:val="00484F39"/>
    <w:rsid w:val="004930CE"/>
    <w:rsid w:val="0049699C"/>
    <w:rsid w:val="004B148A"/>
    <w:rsid w:val="004C11E2"/>
    <w:rsid w:val="004C44B4"/>
    <w:rsid w:val="004C51A5"/>
    <w:rsid w:val="004F235A"/>
    <w:rsid w:val="005365F3"/>
    <w:rsid w:val="00544521"/>
    <w:rsid w:val="0055099E"/>
    <w:rsid w:val="00573F4E"/>
    <w:rsid w:val="005B004A"/>
    <w:rsid w:val="005C368B"/>
    <w:rsid w:val="005E57DF"/>
    <w:rsid w:val="005F52F1"/>
    <w:rsid w:val="005F5CEF"/>
    <w:rsid w:val="0060355F"/>
    <w:rsid w:val="00630DF2"/>
    <w:rsid w:val="00651615"/>
    <w:rsid w:val="00653DD2"/>
    <w:rsid w:val="00660668"/>
    <w:rsid w:val="00681F51"/>
    <w:rsid w:val="00687B21"/>
    <w:rsid w:val="006A03C3"/>
    <w:rsid w:val="006B1393"/>
    <w:rsid w:val="006B4957"/>
    <w:rsid w:val="006C0000"/>
    <w:rsid w:val="006C150C"/>
    <w:rsid w:val="006D7E6F"/>
    <w:rsid w:val="00710671"/>
    <w:rsid w:val="00776AF1"/>
    <w:rsid w:val="00780E47"/>
    <w:rsid w:val="007A3EF2"/>
    <w:rsid w:val="007B2A03"/>
    <w:rsid w:val="007C1FC9"/>
    <w:rsid w:val="007D15D3"/>
    <w:rsid w:val="007E3BF7"/>
    <w:rsid w:val="00815EA4"/>
    <w:rsid w:val="00817A41"/>
    <w:rsid w:val="00832197"/>
    <w:rsid w:val="008532DB"/>
    <w:rsid w:val="0086363A"/>
    <w:rsid w:val="00865649"/>
    <w:rsid w:val="0086580D"/>
    <w:rsid w:val="0088020A"/>
    <w:rsid w:val="00882C2E"/>
    <w:rsid w:val="00884BDF"/>
    <w:rsid w:val="00887901"/>
    <w:rsid w:val="00897DE0"/>
    <w:rsid w:val="008A093B"/>
    <w:rsid w:val="008C3C34"/>
    <w:rsid w:val="008D0D7F"/>
    <w:rsid w:val="008D784A"/>
    <w:rsid w:val="008E5C5D"/>
    <w:rsid w:val="0090456D"/>
    <w:rsid w:val="00913B81"/>
    <w:rsid w:val="00916B1C"/>
    <w:rsid w:val="00922CA0"/>
    <w:rsid w:val="00967D05"/>
    <w:rsid w:val="0098277B"/>
    <w:rsid w:val="00985BF2"/>
    <w:rsid w:val="0098610F"/>
    <w:rsid w:val="009B244C"/>
    <w:rsid w:val="009C6779"/>
    <w:rsid w:val="009D35D3"/>
    <w:rsid w:val="009D42DB"/>
    <w:rsid w:val="00A1171E"/>
    <w:rsid w:val="00A12D5E"/>
    <w:rsid w:val="00A272D0"/>
    <w:rsid w:val="00A30955"/>
    <w:rsid w:val="00A3314B"/>
    <w:rsid w:val="00A541D2"/>
    <w:rsid w:val="00A62226"/>
    <w:rsid w:val="00A63F5C"/>
    <w:rsid w:val="00AB0D66"/>
    <w:rsid w:val="00AB348A"/>
    <w:rsid w:val="00AE3D22"/>
    <w:rsid w:val="00AF15E6"/>
    <w:rsid w:val="00AF2621"/>
    <w:rsid w:val="00AF2ACF"/>
    <w:rsid w:val="00AF3CEF"/>
    <w:rsid w:val="00AF7F8E"/>
    <w:rsid w:val="00B11D32"/>
    <w:rsid w:val="00B158C9"/>
    <w:rsid w:val="00B1758A"/>
    <w:rsid w:val="00B35DD9"/>
    <w:rsid w:val="00B50AE6"/>
    <w:rsid w:val="00B64AD3"/>
    <w:rsid w:val="00B65969"/>
    <w:rsid w:val="00B76CBB"/>
    <w:rsid w:val="00B8121E"/>
    <w:rsid w:val="00BA5B4A"/>
    <w:rsid w:val="00BB0A76"/>
    <w:rsid w:val="00BB5B57"/>
    <w:rsid w:val="00BC4D11"/>
    <w:rsid w:val="00BF3A06"/>
    <w:rsid w:val="00BF4919"/>
    <w:rsid w:val="00BF4C8B"/>
    <w:rsid w:val="00C0002B"/>
    <w:rsid w:val="00C03532"/>
    <w:rsid w:val="00C03D6B"/>
    <w:rsid w:val="00C118A5"/>
    <w:rsid w:val="00C340CA"/>
    <w:rsid w:val="00C729AB"/>
    <w:rsid w:val="00C745E3"/>
    <w:rsid w:val="00C75542"/>
    <w:rsid w:val="00CA2A68"/>
    <w:rsid w:val="00CD2660"/>
    <w:rsid w:val="00CD6954"/>
    <w:rsid w:val="00CE547E"/>
    <w:rsid w:val="00CE7EAA"/>
    <w:rsid w:val="00D04C08"/>
    <w:rsid w:val="00D21A41"/>
    <w:rsid w:val="00D364CC"/>
    <w:rsid w:val="00D63F79"/>
    <w:rsid w:val="00D737AB"/>
    <w:rsid w:val="00D84755"/>
    <w:rsid w:val="00D9027B"/>
    <w:rsid w:val="00D952F6"/>
    <w:rsid w:val="00DD0701"/>
    <w:rsid w:val="00DD0FF1"/>
    <w:rsid w:val="00DF30BD"/>
    <w:rsid w:val="00DF448F"/>
    <w:rsid w:val="00E01491"/>
    <w:rsid w:val="00E10FEC"/>
    <w:rsid w:val="00E171C1"/>
    <w:rsid w:val="00E212AA"/>
    <w:rsid w:val="00E26959"/>
    <w:rsid w:val="00E3502E"/>
    <w:rsid w:val="00E37A9D"/>
    <w:rsid w:val="00E57F22"/>
    <w:rsid w:val="00EB02E2"/>
    <w:rsid w:val="00EB727C"/>
    <w:rsid w:val="00ED66AA"/>
    <w:rsid w:val="00EF3672"/>
    <w:rsid w:val="00EF461E"/>
    <w:rsid w:val="00EF6E81"/>
    <w:rsid w:val="00F0381F"/>
    <w:rsid w:val="00F24E80"/>
    <w:rsid w:val="00F6193E"/>
    <w:rsid w:val="00F67D26"/>
    <w:rsid w:val="00F72930"/>
    <w:rsid w:val="00FA7DC0"/>
    <w:rsid w:val="00FC06C7"/>
    <w:rsid w:val="00FD42BD"/>
    <w:rsid w:val="00FD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64DE68-4FD5-45D7-8D48-CA355AF4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Название Знак"/>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header"/>
    <w:basedOn w:val="a"/>
    <w:link w:val="ab"/>
    <w:uiPriority w:val="99"/>
    <w:unhideWhenUsed/>
    <w:rsid w:val="00003C8B"/>
    <w:pPr>
      <w:tabs>
        <w:tab w:val="center" w:pos="4677"/>
        <w:tab w:val="right" w:pos="9355"/>
      </w:tabs>
    </w:pPr>
  </w:style>
  <w:style w:type="character" w:customStyle="1" w:styleId="ab">
    <w:name w:val="Верхний колонтитул Знак"/>
    <w:link w:val="aa"/>
    <w:uiPriority w:val="99"/>
    <w:rsid w:val="00003C8B"/>
    <w:rPr>
      <w:rFonts w:ascii="Times New Roman" w:eastAsia="Times New Roman" w:hAnsi="Times New Roman"/>
      <w:sz w:val="24"/>
      <w:szCs w:val="24"/>
    </w:rPr>
  </w:style>
  <w:style w:type="paragraph" w:styleId="ac">
    <w:name w:val="footer"/>
    <w:basedOn w:val="a"/>
    <w:link w:val="ad"/>
    <w:uiPriority w:val="99"/>
    <w:unhideWhenUsed/>
    <w:rsid w:val="00003C8B"/>
    <w:pPr>
      <w:tabs>
        <w:tab w:val="center" w:pos="4677"/>
        <w:tab w:val="right" w:pos="9355"/>
      </w:tabs>
    </w:pPr>
  </w:style>
  <w:style w:type="character" w:customStyle="1" w:styleId="ad">
    <w:name w:val="Нижний колонтитул Знак"/>
    <w:link w:val="ac"/>
    <w:uiPriority w:val="99"/>
    <w:rsid w:val="00003C8B"/>
    <w:rPr>
      <w:rFonts w:ascii="Times New Roman" w:eastAsia="Times New Roman" w:hAnsi="Times New Roman"/>
      <w:sz w:val="24"/>
      <w:szCs w:val="24"/>
    </w:rPr>
  </w:style>
  <w:style w:type="paragraph" w:customStyle="1" w:styleId="ae">
    <w:name w:val="Знак"/>
    <w:basedOn w:val="a"/>
    <w:rsid w:val="00D04C08"/>
    <w:rPr>
      <w:rFonts w:ascii="Verdana" w:hAnsi="Verdana" w:cs="Verdana"/>
      <w:sz w:val="20"/>
      <w:szCs w:val="20"/>
      <w:lang w:val="en-US" w:eastAsia="en-US"/>
    </w:rPr>
  </w:style>
  <w:style w:type="paragraph" w:styleId="af">
    <w:name w:val="Normal (Web)"/>
    <w:basedOn w:val="a"/>
    <w:uiPriority w:val="99"/>
    <w:unhideWhenUsed/>
    <w:rsid w:val="008C3C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3222">
      <w:bodyDiv w:val="1"/>
      <w:marLeft w:val="0"/>
      <w:marRight w:val="0"/>
      <w:marTop w:val="0"/>
      <w:marBottom w:val="0"/>
      <w:divBdr>
        <w:top w:val="none" w:sz="0" w:space="0" w:color="auto"/>
        <w:left w:val="none" w:sz="0" w:space="0" w:color="auto"/>
        <w:bottom w:val="none" w:sz="0" w:space="0" w:color="auto"/>
        <w:right w:val="none" w:sz="0" w:space="0" w:color="auto"/>
      </w:divBdr>
    </w:div>
    <w:div w:id="923223337">
      <w:bodyDiv w:val="1"/>
      <w:marLeft w:val="0"/>
      <w:marRight w:val="0"/>
      <w:marTop w:val="0"/>
      <w:marBottom w:val="0"/>
      <w:divBdr>
        <w:top w:val="none" w:sz="0" w:space="0" w:color="auto"/>
        <w:left w:val="none" w:sz="0" w:space="0" w:color="auto"/>
        <w:bottom w:val="none" w:sz="0" w:space="0" w:color="auto"/>
        <w:right w:val="none" w:sz="0" w:space="0" w:color="auto"/>
      </w:divBdr>
    </w:div>
    <w:div w:id="1155025627">
      <w:bodyDiv w:val="1"/>
      <w:marLeft w:val="0"/>
      <w:marRight w:val="0"/>
      <w:marTop w:val="0"/>
      <w:marBottom w:val="0"/>
      <w:divBdr>
        <w:top w:val="none" w:sz="0" w:space="0" w:color="auto"/>
        <w:left w:val="none" w:sz="0" w:space="0" w:color="auto"/>
        <w:bottom w:val="none" w:sz="0" w:space="0" w:color="auto"/>
        <w:right w:val="none" w:sz="0" w:space="0" w:color="auto"/>
      </w:divBdr>
    </w:div>
    <w:div w:id="1545218406">
      <w:bodyDiv w:val="1"/>
      <w:marLeft w:val="0"/>
      <w:marRight w:val="0"/>
      <w:marTop w:val="0"/>
      <w:marBottom w:val="0"/>
      <w:divBdr>
        <w:top w:val="none" w:sz="0" w:space="0" w:color="auto"/>
        <w:left w:val="none" w:sz="0" w:space="0" w:color="auto"/>
        <w:bottom w:val="none" w:sz="0" w:space="0" w:color="auto"/>
        <w:right w:val="none" w:sz="0" w:space="0" w:color="auto"/>
      </w:divBdr>
    </w:div>
    <w:div w:id="1552036867">
      <w:bodyDiv w:val="1"/>
      <w:marLeft w:val="0"/>
      <w:marRight w:val="0"/>
      <w:marTop w:val="0"/>
      <w:marBottom w:val="0"/>
      <w:divBdr>
        <w:top w:val="none" w:sz="0" w:space="0" w:color="auto"/>
        <w:left w:val="none" w:sz="0" w:space="0" w:color="auto"/>
        <w:bottom w:val="none" w:sz="0" w:space="0" w:color="auto"/>
        <w:right w:val="none" w:sz="0" w:space="0" w:color="auto"/>
      </w:divBdr>
    </w:div>
    <w:div w:id="15564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CB58-190E-45E4-80B8-EED6F072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Pages>
  <Words>980</Words>
  <Characters>5591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29</cp:revision>
  <cp:lastPrinted>2022-06-14T11:44:00Z</cp:lastPrinted>
  <dcterms:created xsi:type="dcterms:W3CDTF">2022-01-17T10:31:00Z</dcterms:created>
  <dcterms:modified xsi:type="dcterms:W3CDTF">2022-06-14T11:44:00Z</dcterms:modified>
</cp:coreProperties>
</file>