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9B" w:rsidRPr="00B85F4C" w:rsidRDefault="00295B9B" w:rsidP="00C13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C">
        <w:rPr>
          <w:rFonts w:ascii="Times New Roman" w:hAnsi="Times New Roman" w:cs="Times New Roman"/>
          <w:sz w:val="24"/>
          <w:szCs w:val="24"/>
        </w:rPr>
        <w:t>ИНФОРМАЦИЯ</w:t>
      </w:r>
    </w:p>
    <w:p w:rsidR="00295B9B" w:rsidRPr="00B85F4C" w:rsidRDefault="00295B9B" w:rsidP="00C13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C">
        <w:rPr>
          <w:rFonts w:ascii="Times New Roman" w:hAnsi="Times New Roman" w:cs="Times New Roman"/>
          <w:sz w:val="24"/>
          <w:szCs w:val="24"/>
        </w:rPr>
        <w:t>о соблюдении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</w:t>
      </w:r>
    </w:p>
    <w:p w:rsidR="00295B9B" w:rsidRPr="00B85F4C" w:rsidRDefault="00295B9B" w:rsidP="00C13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C">
        <w:rPr>
          <w:rFonts w:ascii="Times New Roman" w:hAnsi="Times New Roman" w:cs="Times New Roman"/>
          <w:sz w:val="24"/>
          <w:szCs w:val="24"/>
        </w:rPr>
        <w:t>инвалидов к объектам социальной, инженерной и транспортной инфраструктур и к предоставляемым в них услугам</w:t>
      </w:r>
    </w:p>
    <w:p w:rsidR="00295B9B" w:rsidRPr="00FF4E17" w:rsidRDefault="00295B9B" w:rsidP="00C136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E17">
        <w:rPr>
          <w:rFonts w:ascii="Times New Roman" w:hAnsi="Times New Roman" w:cs="Times New Roman"/>
          <w:b/>
          <w:bCs/>
          <w:sz w:val="24"/>
          <w:szCs w:val="24"/>
        </w:rPr>
        <w:t>городского округа Верхний Тагил</w:t>
      </w:r>
    </w:p>
    <w:p w:rsidR="00295B9B" w:rsidRPr="00FF4E17" w:rsidRDefault="00295B9B" w:rsidP="00C136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E17">
        <w:rPr>
          <w:rFonts w:ascii="Times New Roman" w:hAnsi="Times New Roman" w:cs="Times New Roman"/>
          <w:b/>
          <w:bCs/>
          <w:sz w:val="24"/>
          <w:szCs w:val="24"/>
        </w:rPr>
        <w:t>отчетный год: 2021 год</w:t>
      </w:r>
    </w:p>
    <w:p w:rsidR="00295B9B" w:rsidRPr="00FF4E17" w:rsidRDefault="00295B9B" w:rsidP="00C13688">
      <w:pPr>
        <w:pStyle w:val="ConsPlusNormal"/>
        <w:rPr>
          <w:rFonts w:cs="Times New Roman"/>
          <w:b/>
          <w:bCs/>
        </w:rPr>
      </w:pPr>
    </w:p>
    <w:tbl>
      <w:tblPr>
        <w:tblW w:w="160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413"/>
        <w:gridCol w:w="1974"/>
        <w:gridCol w:w="1134"/>
        <w:gridCol w:w="1134"/>
        <w:gridCol w:w="992"/>
        <w:gridCol w:w="992"/>
        <w:gridCol w:w="1134"/>
        <w:gridCol w:w="1134"/>
        <w:gridCol w:w="1134"/>
        <w:gridCol w:w="1134"/>
        <w:gridCol w:w="1134"/>
      </w:tblGrid>
      <w:tr w:rsidR="00295B9B" w:rsidRPr="001046E3">
        <w:tc>
          <w:tcPr>
            <w:tcW w:w="709" w:type="dxa"/>
            <w:vMerge w:val="restart"/>
          </w:tcPr>
          <w:p w:rsidR="00295B9B" w:rsidRPr="00C13688" w:rsidRDefault="00295B9B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5387" w:type="dxa"/>
            <w:gridSpan w:val="2"/>
            <w:vMerge w:val="restart"/>
          </w:tcPr>
          <w:p w:rsidR="00295B9B" w:rsidRPr="00C13688" w:rsidRDefault="00295B9B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Федерального </w:t>
            </w:r>
            <w:hyperlink r:id="rId4" w:history="1">
              <w:r w:rsidRPr="00C136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закона</w:t>
              </w:r>
            </w:hyperlink>
            <w:r w:rsidRPr="00C13688">
              <w:rPr>
                <w:rFonts w:ascii="Times New Roman" w:hAnsi="Times New Roman" w:cs="Times New Roman"/>
                <w:sz w:val="20"/>
                <w:szCs w:val="20"/>
              </w:rPr>
      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5" w:history="1">
              <w:r w:rsidRPr="00C136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Закона</w:t>
              </w:r>
            </w:hyperlink>
            <w:r w:rsidRPr="00C13688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Свердловской области от 19 декабря 2016 года N 148-ОЗ "О социальной защите инвалидов в Свердловской области" </w:t>
            </w:r>
            <w:hyperlink w:anchor="P551" w:history="1">
              <w:r w:rsidRPr="00C136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8788" w:type="dxa"/>
            <w:gridSpan w:val="8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E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Приоритетные сферы:</w:t>
            </w:r>
          </w:p>
        </w:tc>
        <w:tc>
          <w:tcPr>
            <w:tcW w:w="1134" w:type="dxa"/>
            <w:vMerge w:val="restart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E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Сводная информация</w:t>
            </w:r>
          </w:p>
        </w:tc>
      </w:tr>
      <w:tr w:rsidR="00295B9B" w:rsidRPr="001046E3">
        <w:trPr>
          <w:trHeight w:val="1104"/>
        </w:trPr>
        <w:tc>
          <w:tcPr>
            <w:tcW w:w="709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E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здоровья граждан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E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E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E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E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E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E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Общественное питание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E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Бытовое обслуживание</w:t>
            </w:r>
          </w:p>
        </w:tc>
        <w:tc>
          <w:tcPr>
            <w:tcW w:w="1134" w:type="dxa"/>
            <w:vMerge/>
          </w:tcPr>
          <w:p w:rsidR="00295B9B" w:rsidRPr="001046E3" w:rsidRDefault="00295B9B" w:rsidP="00FF4E17">
            <w:pPr>
              <w:ind w:left="-73" w:right="-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5B9B" w:rsidRPr="001046E3">
        <w:trPr>
          <w:trHeight w:val="117"/>
        </w:trPr>
        <w:tc>
          <w:tcPr>
            <w:tcW w:w="709" w:type="dxa"/>
          </w:tcPr>
          <w:p w:rsidR="00295B9B" w:rsidRPr="00C13688" w:rsidRDefault="00295B9B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</w:tcPr>
          <w:p w:rsidR="00295B9B" w:rsidRPr="00C13688" w:rsidRDefault="00295B9B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95B9B" w:rsidRPr="001046E3">
        <w:tc>
          <w:tcPr>
            <w:tcW w:w="709" w:type="dxa"/>
          </w:tcPr>
          <w:p w:rsidR="00295B9B" w:rsidRPr="00C13688" w:rsidRDefault="00295B9B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7" w:type="dxa"/>
            <w:gridSpan w:val="2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95B9B" w:rsidRPr="001046E3">
        <w:tc>
          <w:tcPr>
            <w:tcW w:w="709" w:type="dxa"/>
            <w:vMerge w:val="restart"/>
          </w:tcPr>
          <w:p w:rsidR="00295B9B" w:rsidRPr="00C13688" w:rsidRDefault="00295B9B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13" w:type="dxa"/>
            <w:vMerge w:val="restart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проведено обследований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95B9B" w:rsidRPr="001046E3">
        <w:tc>
          <w:tcPr>
            <w:tcW w:w="709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95B9B" w:rsidRPr="001046E3">
        <w:trPr>
          <w:trHeight w:val="882"/>
        </w:trPr>
        <w:tc>
          <w:tcPr>
            <w:tcW w:w="709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5B9B" w:rsidRPr="001046E3">
        <w:tc>
          <w:tcPr>
            <w:tcW w:w="709" w:type="dxa"/>
            <w:vMerge w:val="restart"/>
          </w:tcPr>
          <w:p w:rsidR="00295B9B" w:rsidRPr="00C13688" w:rsidRDefault="00295B9B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13" w:type="dxa"/>
            <w:vMerge w:val="restart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проведено обследований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95B9B" w:rsidRPr="001046E3">
        <w:tc>
          <w:tcPr>
            <w:tcW w:w="709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cs="Times New Roman"/>
              </w:rPr>
            </w:pPr>
            <w:r>
              <w:t>1</w:t>
            </w:r>
          </w:p>
        </w:tc>
      </w:tr>
      <w:tr w:rsidR="00295B9B" w:rsidRPr="001046E3">
        <w:tc>
          <w:tcPr>
            <w:tcW w:w="709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cs="Times New Roman"/>
              </w:rPr>
            </w:pPr>
            <w:r>
              <w:t>12</w:t>
            </w:r>
          </w:p>
        </w:tc>
      </w:tr>
      <w:tr w:rsidR="00295B9B" w:rsidRPr="001046E3">
        <w:tc>
          <w:tcPr>
            <w:tcW w:w="709" w:type="dxa"/>
            <w:vMerge w:val="restart"/>
          </w:tcPr>
          <w:p w:rsidR="00295B9B" w:rsidRPr="00C13688" w:rsidRDefault="00295B9B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13" w:type="dxa"/>
            <w:vMerge w:val="restart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проведено обследований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95B9B" w:rsidRPr="001046E3">
        <w:tc>
          <w:tcPr>
            <w:tcW w:w="709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cs="Times New Roman"/>
              </w:rPr>
            </w:pPr>
            <w:r>
              <w:t>2</w:t>
            </w:r>
          </w:p>
        </w:tc>
      </w:tr>
      <w:tr w:rsidR="00295B9B" w:rsidRPr="001046E3">
        <w:tc>
          <w:tcPr>
            <w:tcW w:w="709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cs="Times New Roman"/>
              </w:rPr>
            </w:pPr>
            <w:r>
              <w:t>12</w:t>
            </w:r>
          </w:p>
        </w:tc>
      </w:tr>
      <w:tr w:rsidR="00295B9B" w:rsidRPr="001046E3">
        <w:tc>
          <w:tcPr>
            <w:tcW w:w="709" w:type="dxa"/>
            <w:vMerge w:val="restart"/>
          </w:tcPr>
          <w:p w:rsidR="00295B9B" w:rsidRPr="00C13688" w:rsidRDefault="00295B9B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13" w:type="dxa"/>
            <w:vMerge w:val="restart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проведено обследований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95B9B" w:rsidRPr="001046E3">
        <w:tc>
          <w:tcPr>
            <w:tcW w:w="709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95B9B" w:rsidRPr="001046E3">
        <w:tc>
          <w:tcPr>
            <w:tcW w:w="709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295B9B" w:rsidRPr="001046E3">
        <w:tc>
          <w:tcPr>
            <w:tcW w:w="709" w:type="dxa"/>
            <w:vMerge w:val="restart"/>
          </w:tcPr>
          <w:p w:rsidR="00295B9B" w:rsidRPr="00C13688" w:rsidRDefault="00295B9B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13" w:type="dxa"/>
            <w:vMerge w:val="restart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проведено обследований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95B9B" w:rsidRPr="001046E3">
        <w:tc>
          <w:tcPr>
            <w:tcW w:w="709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95B9B" w:rsidRPr="001046E3">
        <w:tc>
          <w:tcPr>
            <w:tcW w:w="709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295B9B" w:rsidRPr="001046E3">
        <w:tc>
          <w:tcPr>
            <w:tcW w:w="709" w:type="dxa"/>
            <w:vMerge w:val="restart"/>
          </w:tcPr>
          <w:p w:rsidR="00295B9B" w:rsidRPr="00C13688" w:rsidRDefault="00295B9B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13" w:type="dxa"/>
            <w:vMerge w:val="restart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проведено обследований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95B9B" w:rsidRPr="001046E3">
        <w:tc>
          <w:tcPr>
            <w:tcW w:w="709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7*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cs="Times New Roman"/>
              </w:rPr>
            </w:pPr>
            <w:r>
              <w:t>12*</w:t>
            </w:r>
          </w:p>
        </w:tc>
      </w:tr>
      <w:tr w:rsidR="00295B9B" w:rsidRPr="001046E3">
        <w:tc>
          <w:tcPr>
            <w:tcW w:w="709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cs="Times New Roman"/>
              </w:rPr>
            </w:pPr>
            <w:r>
              <w:t>8</w:t>
            </w:r>
          </w:p>
        </w:tc>
      </w:tr>
      <w:tr w:rsidR="00295B9B" w:rsidRPr="001046E3">
        <w:tc>
          <w:tcPr>
            <w:tcW w:w="709" w:type="dxa"/>
            <w:vMerge w:val="restart"/>
          </w:tcPr>
          <w:p w:rsidR="00295B9B" w:rsidRPr="00C13688" w:rsidRDefault="00295B9B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13" w:type="dxa"/>
            <w:vMerge w:val="restart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проведено обследований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95B9B" w:rsidRPr="001046E3">
        <w:tc>
          <w:tcPr>
            <w:tcW w:w="709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295B9B" w:rsidRPr="001046E3">
        <w:tc>
          <w:tcPr>
            <w:tcW w:w="709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cs="Times New Roman"/>
              </w:rPr>
            </w:pPr>
            <w:r>
              <w:t>13</w:t>
            </w:r>
          </w:p>
        </w:tc>
      </w:tr>
      <w:tr w:rsidR="00295B9B" w:rsidRPr="001046E3">
        <w:tc>
          <w:tcPr>
            <w:tcW w:w="709" w:type="dxa"/>
            <w:vMerge w:val="restart"/>
          </w:tcPr>
          <w:p w:rsidR="00295B9B" w:rsidRPr="00C13688" w:rsidRDefault="00295B9B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13" w:type="dxa"/>
            <w:vMerge w:val="restart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инвалидам с допуском сурдопереводчика и тифлосурдопереводчика</w:t>
            </w: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проведено обследований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95B9B" w:rsidRPr="001046E3">
        <w:tc>
          <w:tcPr>
            <w:tcW w:w="709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295B9B" w:rsidRPr="001046E3">
        <w:tc>
          <w:tcPr>
            <w:tcW w:w="709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cs="Times New Roman"/>
              </w:rPr>
            </w:pPr>
            <w:r>
              <w:t>13</w:t>
            </w:r>
          </w:p>
        </w:tc>
      </w:tr>
      <w:tr w:rsidR="00295B9B" w:rsidRPr="001046E3">
        <w:tc>
          <w:tcPr>
            <w:tcW w:w="709" w:type="dxa"/>
            <w:vMerge w:val="restart"/>
          </w:tcPr>
          <w:p w:rsidR="00295B9B" w:rsidRPr="00C13688" w:rsidRDefault="00295B9B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13" w:type="dxa"/>
            <w:vMerge w:val="restart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проведено обследований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95B9B" w:rsidRPr="001046E3">
        <w:tc>
          <w:tcPr>
            <w:tcW w:w="709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DD7F01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cs="Times New Roman"/>
              </w:rPr>
            </w:pPr>
            <w:r>
              <w:t>55</w:t>
            </w:r>
          </w:p>
        </w:tc>
      </w:tr>
      <w:tr w:rsidR="00295B9B" w:rsidRPr="001046E3">
        <w:tc>
          <w:tcPr>
            <w:tcW w:w="709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Merge/>
          </w:tcPr>
          <w:p w:rsidR="00295B9B" w:rsidRPr="001046E3" w:rsidRDefault="00295B9B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295B9B" w:rsidRPr="00C13688" w:rsidRDefault="00295B9B" w:rsidP="00B63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13688">
              <w:rPr>
                <w:rFonts w:ascii="Times New Roman" w:hAnsi="Times New Roman" w:cs="Times New Roman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5B9B" w:rsidRPr="00FF4E17" w:rsidRDefault="00295B9B" w:rsidP="00FF4E17">
            <w:pPr>
              <w:pStyle w:val="ConsPlusNormal"/>
              <w:ind w:left="-73" w:right="-2"/>
              <w:jc w:val="center"/>
              <w:rPr>
                <w:rFonts w:cs="Times New Roman"/>
              </w:rPr>
            </w:pPr>
            <w:r>
              <w:t>56</w:t>
            </w:r>
            <w:bookmarkStart w:id="0" w:name="_GoBack"/>
            <w:bookmarkEnd w:id="0"/>
          </w:p>
        </w:tc>
      </w:tr>
    </w:tbl>
    <w:p w:rsidR="00295B9B" w:rsidRPr="00732011" w:rsidRDefault="00295B9B" w:rsidP="001A4B1A">
      <w:pPr>
        <w:pStyle w:val="ConsPlusNormal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295B9B" w:rsidRPr="00732011" w:rsidSect="007A23E4">
      <w:pgSz w:w="16838" w:h="11906" w:orient="landscape"/>
      <w:pgMar w:top="567" w:right="1134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5D4"/>
    <w:rsid w:val="000A3320"/>
    <w:rsid w:val="000C195F"/>
    <w:rsid w:val="000D1DD5"/>
    <w:rsid w:val="001046E3"/>
    <w:rsid w:val="00131F6B"/>
    <w:rsid w:val="001A4B1A"/>
    <w:rsid w:val="00240ABF"/>
    <w:rsid w:val="0024275A"/>
    <w:rsid w:val="00266DBC"/>
    <w:rsid w:val="002703D1"/>
    <w:rsid w:val="002758A2"/>
    <w:rsid w:val="00295B9B"/>
    <w:rsid w:val="002F54B5"/>
    <w:rsid w:val="003023FA"/>
    <w:rsid w:val="00360E89"/>
    <w:rsid w:val="0050618B"/>
    <w:rsid w:val="00533626"/>
    <w:rsid w:val="00586722"/>
    <w:rsid w:val="00604B17"/>
    <w:rsid w:val="00622865"/>
    <w:rsid w:val="006315D4"/>
    <w:rsid w:val="006E2D36"/>
    <w:rsid w:val="00705DD6"/>
    <w:rsid w:val="00730E22"/>
    <w:rsid w:val="00731AF9"/>
    <w:rsid w:val="00732011"/>
    <w:rsid w:val="007505FE"/>
    <w:rsid w:val="00750CBA"/>
    <w:rsid w:val="007A23E4"/>
    <w:rsid w:val="007B4B75"/>
    <w:rsid w:val="007C32EF"/>
    <w:rsid w:val="00810E23"/>
    <w:rsid w:val="0082240D"/>
    <w:rsid w:val="00855408"/>
    <w:rsid w:val="008D4DBD"/>
    <w:rsid w:val="008D698B"/>
    <w:rsid w:val="00903330"/>
    <w:rsid w:val="009264C4"/>
    <w:rsid w:val="00950F54"/>
    <w:rsid w:val="00974651"/>
    <w:rsid w:val="00990E45"/>
    <w:rsid w:val="009C09C7"/>
    <w:rsid w:val="009D096D"/>
    <w:rsid w:val="009E12E0"/>
    <w:rsid w:val="00A14318"/>
    <w:rsid w:val="00A6057D"/>
    <w:rsid w:val="00B35E67"/>
    <w:rsid w:val="00B63946"/>
    <w:rsid w:val="00B85F4C"/>
    <w:rsid w:val="00BB017B"/>
    <w:rsid w:val="00C13688"/>
    <w:rsid w:val="00C249E9"/>
    <w:rsid w:val="00C37B96"/>
    <w:rsid w:val="00C51F51"/>
    <w:rsid w:val="00C75E94"/>
    <w:rsid w:val="00C77963"/>
    <w:rsid w:val="00CB1C87"/>
    <w:rsid w:val="00CF62C4"/>
    <w:rsid w:val="00D25C8E"/>
    <w:rsid w:val="00DD7F01"/>
    <w:rsid w:val="00DE5F2D"/>
    <w:rsid w:val="00DE7871"/>
    <w:rsid w:val="00E3447C"/>
    <w:rsid w:val="00EE62F7"/>
    <w:rsid w:val="00F021C4"/>
    <w:rsid w:val="00F22030"/>
    <w:rsid w:val="00F224BD"/>
    <w:rsid w:val="00F3381E"/>
    <w:rsid w:val="00FC3450"/>
    <w:rsid w:val="00FC3FCC"/>
    <w:rsid w:val="00F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368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1368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DB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1A4B1A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A4B1A"/>
    <w:pPr>
      <w:widowControl w:val="0"/>
      <w:shd w:val="clear" w:color="auto" w:fill="FFFFFF"/>
      <w:spacing w:after="680" w:line="310" w:lineRule="exact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29030BFD6283EAD564604B7CD889CB8AAFEC1D1DE0F331F28E8618AD776FF6EE5BFBE" TargetMode="External"/><Relationship Id="rId4" Type="http://schemas.openxmlformats.org/officeDocument/2006/relationships/hyperlink" Target="consultantplus://offline/ref=3029030BFD6283EAD5647E466AB4D7C18AADB3141AE1FA6FAED9804FF252F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634</Words>
  <Characters>3615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RePack by Diakov</dc:creator>
  <cp:keywords/>
  <dc:description/>
  <cp:lastModifiedBy>www.PHILka.RU</cp:lastModifiedBy>
  <cp:revision>2</cp:revision>
  <cp:lastPrinted>2022-01-25T10:35:00Z</cp:lastPrinted>
  <dcterms:created xsi:type="dcterms:W3CDTF">2022-01-25T10:53:00Z</dcterms:created>
  <dcterms:modified xsi:type="dcterms:W3CDTF">2022-01-25T10:53:00Z</dcterms:modified>
</cp:coreProperties>
</file>